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312" w:afterLines="100"/>
        <w:jc w:val="center"/>
        <w:rPr>
          <w:b/>
          <w:bCs/>
          <w:sz w:val="44"/>
          <w:szCs w:val="44"/>
        </w:rPr>
      </w:pPr>
    </w:p>
    <w:p>
      <w:pPr>
        <w:spacing w:after="312" w:afterLines="100"/>
        <w:jc w:val="center"/>
        <w:rPr>
          <w:rFonts w:ascii="方正小标宋简体" w:hAnsi="华文中宋" w:eastAsia="方正小标宋简体"/>
          <w:bCs/>
          <w:sz w:val="44"/>
          <w:szCs w:val="44"/>
        </w:rPr>
      </w:pPr>
      <w:r>
        <w:rPr>
          <w:rFonts w:hint="eastAsia" w:ascii="方正小标宋简体" w:hAnsi="华文中宋" w:eastAsia="方正小标宋简体"/>
          <w:bCs/>
          <w:sz w:val="44"/>
          <w:szCs w:val="44"/>
        </w:rPr>
        <w:t>山东省地方标准</w:t>
      </w:r>
    </w:p>
    <w:p>
      <w:pPr>
        <w:spacing w:after="312" w:afterLines="100"/>
        <w:jc w:val="center"/>
        <w:rPr>
          <w:rFonts w:ascii="方正小标宋简体" w:eastAsia="方正小标宋简体"/>
          <w:sz w:val="44"/>
          <w:szCs w:val="44"/>
        </w:rPr>
      </w:pPr>
      <w:r>
        <w:rPr>
          <w:rFonts w:hint="eastAsia" w:ascii="方正小标宋简体" w:eastAsia="方正小标宋简体"/>
          <w:sz w:val="44"/>
          <w:szCs w:val="44"/>
        </w:rPr>
        <w:t>《科技型中小企业科技创新服务规范》</w:t>
      </w:r>
    </w:p>
    <w:p>
      <w:pPr>
        <w:spacing w:after="312" w:afterLines="100"/>
        <w:jc w:val="center"/>
        <w:rPr>
          <w:rFonts w:ascii="方正小标宋简体" w:eastAsia="方正小标宋简体"/>
          <w:b/>
          <w:bCs/>
          <w:sz w:val="44"/>
          <w:szCs w:val="44"/>
        </w:rPr>
      </w:pPr>
      <w:r>
        <w:rPr>
          <w:rFonts w:hint="eastAsia" w:ascii="方正小标宋简体" w:eastAsia="方正小标宋简体"/>
          <w:sz w:val="44"/>
          <w:szCs w:val="44"/>
        </w:rPr>
        <w:t>编制说明</w:t>
      </w:r>
    </w:p>
    <w:p>
      <w:pPr>
        <w:spacing w:after="312" w:afterLines="100"/>
        <w:jc w:val="center"/>
        <w:rPr>
          <w:b/>
          <w:bCs/>
          <w:sz w:val="44"/>
          <w:szCs w:val="44"/>
        </w:rPr>
      </w:pPr>
    </w:p>
    <w:p>
      <w:pPr>
        <w:spacing w:after="312" w:afterLines="100"/>
        <w:rPr>
          <w:b/>
          <w:bCs/>
          <w:sz w:val="44"/>
          <w:szCs w:val="44"/>
        </w:rPr>
      </w:pPr>
    </w:p>
    <w:p>
      <w:pPr>
        <w:spacing w:after="312" w:afterLines="100"/>
        <w:rPr>
          <w:b/>
          <w:bCs/>
          <w:sz w:val="44"/>
          <w:szCs w:val="44"/>
        </w:rPr>
      </w:pPr>
    </w:p>
    <w:p>
      <w:pPr>
        <w:spacing w:after="312" w:afterLines="100"/>
        <w:rPr>
          <w:b/>
          <w:bCs/>
          <w:sz w:val="44"/>
          <w:szCs w:val="44"/>
        </w:rPr>
      </w:pPr>
    </w:p>
    <w:p>
      <w:pPr>
        <w:spacing w:after="312" w:afterLines="100"/>
        <w:rPr>
          <w:b/>
          <w:bCs/>
          <w:sz w:val="44"/>
          <w:szCs w:val="44"/>
        </w:rPr>
      </w:pPr>
    </w:p>
    <w:p>
      <w:pPr>
        <w:spacing w:after="312" w:afterLines="100"/>
        <w:rPr>
          <w:b/>
          <w:bCs/>
          <w:sz w:val="44"/>
          <w:szCs w:val="44"/>
        </w:rPr>
      </w:pPr>
    </w:p>
    <w:p>
      <w:pPr>
        <w:spacing w:after="312" w:afterLines="100"/>
        <w:jc w:val="center"/>
        <w:rPr>
          <w:rFonts w:ascii="华文中宋" w:hAnsi="华文中宋" w:eastAsia="华文中宋"/>
          <w:bCs/>
          <w:sz w:val="32"/>
          <w:szCs w:val="32"/>
        </w:rPr>
      </w:pPr>
      <w:r>
        <w:rPr>
          <w:rFonts w:hint="eastAsia" w:ascii="华文中宋" w:hAnsi="华文中宋" w:eastAsia="华文中宋"/>
          <w:bCs/>
          <w:sz w:val="32"/>
          <w:szCs w:val="32"/>
        </w:rPr>
        <w:t>标准起草工作组</w:t>
      </w:r>
    </w:p>
    <w:p>
      <w:pPr>
        <w:spacing w:after="312" w:afterLines="100"/>
        <w:jc w:val="center"/>
        <w:rPr>
          <w:rFonts w:ascii="华文中宋" w:hAnsi="华文中宋" w:eastAsia="华文中宋"/>
          <w:bCs/>
          <w:sz w:val="32"/>
          <w:szCs w:val="32"/>
        </w:rPr>
      </w:pPr>
      <w:r>
        <w:rPr>
          <w:rFonts w:hint="eastAsia" w:ascii="华文中宋" w:hAnsi="华文中宋" w:eastAsia="华文中宋"/>
          <w:bCs/>
          <w:sz w:val="32"/>
          <w:szCs w:val="32"/>
        </w:rPr>
        <w:t>二○二二年十一月</w:t>
      </w:r>
    </w:p>
    <w:p>
      <w:pPr>
        <w:spacing w:after="312" w:afterLines="100"/>
        <w:jc w:val="center"/>
        <w:rPr>
          <w:rFonts w:ascii="黑体" w:eastAsia="黑体"/>
          <w:sz w:val="32"/>
          <w:szCs w:val="32"/>
        </w:rPr>
      </w:pPr>
    </w:p>
    <w:p>
      <w:pPr>
        <w:spacing w:after="312" w:afterLines="100"/>
        <w:jc w:val="center"/>
        <w:rPr>
          <w:rFonts w:ascii="黑体" w:eastAsia="黑体"/>
          <w:sz w:val="32"/>
          <w:szCs w:val="32"/>
        </w:rPr>
      </w:pPr>
    </w:p>
    <w:p>
      <w:pPr>
        <w:spacing w:line="640" w:lineRule="exact"/>
        <w:jc w:val="center"/>
        <w:rPr>
          <w:rFonts w:ascii="方正小标宋简体" w:eastAsia="方正小标宋简体"/>
          <w:sz w:val="44"/>
          <w:szCs w:val="44"/>
        </w:rPr>
      </w:pPr>
      <w:r>
        <w:rPr>
          <w:rFonts w:hint="eastAsia" w:ascii="方正小标宋简体" w:eastAsia="方正小标宋简体"/>
          <w:sz w:val="44"/>
          <w:szCs w:val="44"/>
        </w:rPr>
        <w:t>《科技型中小企业科技创新服务规范》</w:t>
      </w:r>
    </w:p>
    <w:p>
      <w:pPr>
        <w:spacing w:line="640" w:lineRule="exact"/>
        <w:jc w:val="center"/>
        <w:rPr>
          <w:rFonts w:ascii="方正小标宋简体" w:eastAsia="方正小标宋简体"/>
          <w:b/>
          <w:bCs/>
          <w:sz w:val="44"/>
          <w:szCs w:val="44"/>
        </w:rPr>
      </w:pPr>
      <w:r>
        <w:rPr>
          <w:rFonts w:hint="eastAsia" w:ascii="方正小标宋简体" w:eastAsia="方正小标宋简体"/>
          <w:sz w:val="44"/>
          <w:szCs w:val="44"/>
        </w:rPr>
        <w:t>地方标准编制说明</w:t>
      </w:r>
    </w:p>
    <w:p>
      <w:pPr>
        <w:spacing w:line="360" w:lineRule="auto"/>
        <w:ind w:firstLine="640" w:firstLineChars="200"/>
        <w:rPr>
          <w:rFonts w:ascii="黑体" w:hAnsi="黑体" w:eastAsia="黑体"/>
          <w:sz w:val="32"/>
          <w:szCs w:val="32"/>
        </w:rPr>
      </w:pPr>
    </w:p>
    <w:p>
      <w:pPr>
        <w:spacing w:line="360" w:lineRule="auto"/>
        <w:ind w:firstLine="640" w:firstLineChars="200"/>
        <w:rPr>
          <w:rFonts w:ascii="黑体" w:hAnsi="黑体" w:eastAsia="黑体"/>
          <w:sz w:val="32"/>
          <w:szCs w:val="32"/>
        </w:rPr>
      </w:pPr>
      <w:r>
        <w:rPr>
          <w:rFonts w:hint="eastAsia" w:ascii="黑体" w:hAnsi="黑体" w:eastAsia="黑体"/>
          <w:sz w:val="32"/>
          <w:szCs w:val="32"/>
        </w:rPr>
        <w:t>一、工作简况</w:t>
      </w:r>
    </w:p>
    <w:p>
      <w:pPr>
        <w:spacing w:line="360" w:lineRule="auto"/>
        <w:ind w:firstLine="640" w:firstLineChars="200"/>
        <w:rPr>
          <w:rFonts w:ascii="楷体" w:hAnsi="楷体" w:eastAsia="楷体"/>
          <w:sz w:val="32"/>
          <w:szCs w:val="32"/>
        </w:rPr>
      </w:pPr>
      <w:r>
        <w:rPr>
          <w:rFonts w:hint="eastAsia" w:ascii="楷体" w:hAnsi="楷体" w:eastAsia="楷体"/>
          <w:sz w:val="32"/>
          <w:szCs w:val="32"/>
        </w:rPr>
        <w:t>（一）任务来源</w:t>
      </w:r>
    </w:p>
    <w:p>
      <w:pPr>
        <w:widowControl/>
        <w:shd w:val="clear" w:color="auto" w:fill="FFFFFF"/>
        <w:ind w:firstLine="640" w:firstLineChars="200"/>
        <w:jc w:val="left"/>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019</w:t>
      </w:r>
      <w:r>
        <w:rPr>
          <w:rFonts w:hint="eastAsia" w:ascii="仿宋" w:hAnsi="仿宋" w:eastAsia="仿宋"/>
          <w:sz w:val="32"/>
          <w:szCs w:val="32"/>
        </w:rPr>
        <w:t>年9月4日，《关于印发&lt;2019年度标准化综合改革暨“山东标准”建设项目计划&gt;的通知》（鲁标改办发〔2019〕6号）印发，根据通知，由济南科技创新促进中心承担的地方标准《面向科技型中小企业服务规范》确定立项。</w:t>
      </w:r>
    </w:p>
    <w:p>
      <w:pPr>
        <w:widowControl/>
        <w:shd w:val="clear" w:color="auto" w:fill="FFFFFF"/>
        <w:ind w:firstLine="640" w:firstLineChars="200"/>
        <w:jc w:val="left"/>
        <w:rPr>
          <w:rFonts w:ascii="仿宋" w:hAnsi="仿宋" w:eastAsia="仿宋"/>
          <w:sz w:val="32"/>
          <w:szCs w:val="32"/>
        </w:rPr>
      </w:pPr>
      <w:r>
        <w:rPr>
          <w:rFonts w:hint="eastAsia" w:ascii="仿宋" w:hAnsi="仿宋" w:eastAsia="仿宋"/>
          <w:sz w:val="32"/>
          <w:szCs w:val="32"/>
        </w:rPr>
        <w:t>本标准由山东省科学技术厅提出并归口。</w:t>
      </w:r>
    </w:p>
    <w:p>
      <w:pPr>
        <w:ind w:firstLine="640" w:firstLineChars="200"/>
        <w:rPr>
          <w:rFonts w:ascii="楷体" w:hAnsi="楷体" w:eastAsia="楷体"/>
          <w:sz w:val="32"/>
          <w:szCs w:val="32"/>
        </w:rPr>
      </w:pPr>
      <w:r>
        <w:rPr>
          <w:rFonts w:hint="eastAsia" w:ascii="楷体" w:hAnsi="楷体" w:eastAsia="楷体"/>
          <w:sz w:val="32"/>
          <w:szCs w:val="32"/>
        </w:rPr>
        <w:t>（二）起草单位及主要起草人信息</w:t>
      </w:r>
    </w:p>
    <w:p>
      <w:pPr>
        <w:widowControl/>
        <w:shd w:val="clear" w:color="auto" w:fill="FFFFFF"/>
        <w:ind w:firstLine="640" w:firstLineChars="200"/>
        <w:jc w:val="left"/>
        <w:rPr>
          <w:rFonts w:ascii="仿宋" w:hAnsi="仿宋" w:eastAsia="仿宋"/>
          <w:sz w:val="32"/>
          <w:szCs w:val="32"/>
        </w:rPr>
      </w:pPr>
      <w:r>
        <w:rPr>
          <w:rFonts w:hint="eastAsia" w:ascii="仿宋" w:hAnsi="仿宋" w:eastAsia="仿宋"/>
          <w:sz w:val="32"/>
          <w:szCs w:val="32"/>
        </w:rPr>
        <w:t>本标准主要起草单位包括济南科技创新促进中心、山东省创新发展研究院、山东省标准化研究院、山东产权交易集团有限公司、政和科技股份有限公司。</w:t>
      </w:r>
    </w:p>
    <w:p>
      <w:pPr>
        <w:widowControl/>
        <w:shd w:val="clear" w:color="auto" w:fill="FFFFFF"/>
        <w:ind w:firstLine="640" w:firstLineChars="200"/>
        <w:jc w:val="left"/>
        <w:rPr>
          <w:rFonts w:ascii="仿宋" w:hAnsi="仿宋" w:eastAsia="仿宋"/>
          <w:sz w:val="32"/>
          <w:szCs w:val="32"/>
        </w:rPr>
      </w:pPr>
      <w:r>
        <w:rPr>
          <w:rFonts w:hint="eastAsia" w:ascii="仿宋" w:hAnsi="仿宋" w:eastAsia="仿宋"/>
          <w:sz w:val="32"/>
          <w:szCs w:val="32"/>
        </w:rPr>
        <w:t>本标准主要起草人及其承担的工作如下。</w:t>
      </w:r>
    </w:p>
    <w:tbl>
      <w:tblPr>
        <w:tblStyle w:val="13"/>
        <w:tblW w:w="95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8"/>
        <w:gridCol w:w="1097"/>
        <w:gridCol w:w="3078"/>
        <w:gridCol w:w="44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8" w:type="dxa"/>
            <w:vAlign w:val="center"/>
          </w:tcPr>
          <w:p>
            <w:pPr>
              <w:jc w:val="center"/>
              <w:rPr>
                <w:rFonts w:ascii="仿宋" w:hAnsi="仿宋" w:eastAsia="仿宋"/>
                <w:b/>
                <w:sz w:val="28"/>
                <w:szCs w:val="28"/>
              </w:rPr>
            </w:pPr>
            <w:r>
              <w:rPr>
                <w:rFonts w:hint="eastAsia" w:ascii="仿宋" w:hAnsi="仿宋" w:eastAsia="仿宋"/>
                <w:b/>
                <w:sz w:val="28"/>
                <w:szCs w:val="28"/>
              </w:rPr>
              <w:t>序号</w:t>
            </w:r>
          </w:p>
        </w:tc>
        <w:tc>
          <w:tcPr>
            <w:tcW w:w="1097" w:type="dxa"/>
            <w:vAlign w:val="center"/>
          </w:tcPr>
          <w:p>
            <w:pPr>
              <w:jc w:val="center"/>
              <w:rPr>
                <w:rFonts w:ascii="仿宋" w:hAnsi="仿宋" w:eastAsia="仿宋"/>
                <w:b/>
                <w:sz w:val="28"/>
                <w:szCs w:val="28"/>
              </w:rPr>
            </w:pPr>
            <w:r>
              <w:rPr>
                <w:rFonts w:hint="eastAsia" w:ascii="仿宋" w:hAnsi="仿宋" w:eastAsia="仿宋"/>
                <w:b/>
                <w:sz w:val="28"/>
                <w:szCs w:val="28"/>
              </w:rPr>
              <w:t>姓名</w:t>
            </w:r>
          </w:p>
        </w:tc>
        <w:tc>
          <w:tcPr>
            <w:tcW w:w="3078" w:type="dxa"/>
            <w:vAlign w:val="center"/>
          </w:tcPr>
          <w:p>
            <w:pPr>
              <w:jc w:val="center"/>
              <w:rPr>
                <w:rFonts w:ascii="仿宋" w:hAnsi="仿宋" w:eastAsia="仿宋"/>
                <w:b/>
                <w:sz w:val="28"/>
                <w:szCs w:val="28"/>
              </w:rPr>
            </w:pPr>
            <w:r>
              <w:rPr>
                <w:rFonts w:hint="eastAsia" w:ascii="仿宋" w:hAnsi="仿宋" w:eastAsia="仿宋"/>
                <w:b/>
                <w:sz w:val="28"/>
                <w:szCs w:val="28"/>
              </w:rPr>
              <w:t>单位</w:t>
            </w:r>
          </w:p>
        </w:tc>
        <w:tc>
          <w:tcPr>
            <w:tcW w:w="4469" w:type="dxa"/>
            <w:vAlign w:val="center"/>
          </w:tcPr>
          <w:p>
            <w:pPr>
              <w:jc w:val="center"/>
              <w:rPr>
                <w:rFonts w:ascii="仿宋" w:hAnsi="仿宋" w:eastAsia="仿宋"/>
                <w:b/>
                <w:sz w:val="28"/>
                <w:szCs w:val="28"/>
              </w:rPr>
            </w:pPr>
            <w:r>
              <w:rPr>
                <w:rFonts w:hint="eastAsia" w:ascii="仿宋" w:hAnsi="仿宋" w:eastAsia="仿宋"/>
                <w:b/>
                <w:sz w:val="28"/>
                <w:szCs w:val="28"/>
              </w:rPr>
              <w:t>承担的工作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8" w:type="dxa"/>
            <w:vAlign w:val="center"/>
          </w:tcPr>
          <w:p>
            <w:pPr>
              <w:jc w:val="center"/>
              <w:rPr>
                <w:rFonts w:ascii="仿宋" w:hAnsi="仿宋" w:eastAsia="仿宋"/>
                <w:sz w:val="28"/>
                <w:szCs w:val="28"/>
              </w:rPr>
            </w:pPr>
            <w:r>
              <w:rPr>
                <w:rFonts w:hint="eastAsia" w:ascii="仿宋" w:hAnsi="仿宋" w:eastAsia="仿宋"/>
                <w:sz w:val="28"/>
                <w:szCs w:val="28"/>
              </w:rPr>
              <w:t>1</w:t>
            </w:r>
          </w:p>
        </w:tc>
        <w:tc>
          <w:tcPr>
            <w:tcW w:w="1097" w:type="dxa"/>
            <w:vAlign w:val="center"/>
          </w:tcPr>
          <w:p>
            <w:pPr>
              <w:jc w:val="center"/>
              <w:rPr>
                <w:rFonts w:ascii="仿宋" w:hAnsi="仿宋" w:eastAsia="仿宋"/>
                <w:sz w:val="28"/>
                <w:szCs w:val="28"/>
              </w:rPr>
            </w:pPr>
            <w:r>
              <w:rPr>
                <w:rFonts w:hint="eastAsia" w:ascii="仿宋" w:hAnsi="仿宋" w:eastAsia="仿宋" w:cs="宋体"/>
                <w:sz w:val="28"/>
                <w:szCs w:val="28"/>
              </w:rPr>
              <w:t>周  鑫</w:t>
            </w:r>
          </w:p>
        </w:tc>
        <w:tc>
          <w:tcPr>
            <w:tcW w:w="3078" w:type="dxa"/>
            <w:vAlign w:val="center"/>
          </w:tcPr>
          <w:p>
            <w:pPr>
              <w:jc w:val="left"/>
              <w:rPr>
                <w:rFonts w:ascii="仿宋" w:hAnsi="仿宋" w:eastAsia="仿宋"/>
                <w:sz w:val="28"/>
                <w:szCs w:val="28"/>
              </w:rPr>
            </w:pPr>
            <w:r>
              <w:rPr>
                <w:rFonts w:hint="eastAsia" w:ascii="仿宋" w:hAnsi="仿宋" w:eastAsia="仿宋"/>
                <w:sz w:val="28"/>
                <w:szCs w:val="28"/>
              </w:rPr>
              <w:t>济南科技创新促进中心</w:t>
            </w:r>
          </w:p>
        </w:tc>
        <w:tc>
          <w:tcPr>
            <w:tcW w:w="4469" w:type="dxa"/>
            <w:vAlign w:val="center"/>
          </w:tcPr>
          <w:p>
            <w:pPr>
              <w:jc w:val="left"/>
              <w:rPr>
                <w:rFonts w:ascii="仿宋" w:hAnsi="仿宋" w:eastAsia="仿宋"/>
                <w:sz w:val="28"/>
                <w:szCs w:val="28"/>
              </w:rPr>
            </w:pPr>
            <w:r>
              <w:rPr>
                <w:rFonts w:hint="eastAsia" w:ascii="仿宋" w:hAnsi="仿宋" w:eastAsia="仿宋" w:cs="宋体"/>
                <w:sz w:val="28"/>
                <w:szCs w:val="28"/>
              </w:rPr>
              <w:t>标准总体策划统筹、任务制定、内容整理及把关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8" w:type="dxa"/>
            <w:vAlign w:val="center"/>
          </w:tcPr>
          <w:p>
            <w:pPr>
              <w:jc w:val="center"/>
              <w:rPr>
                <w:rFonts w:ascii="仿宋" w:hAnsi="仿宋" w:eastAsia="仿宋"/>
                <w:sz w:val="28"/>
                <w:szCs w:val="28"/>
              </w:rPr>
            </w:pPr>
            <w:r>
              <w:rPr>
                <w:rFonts w:hint="eastAsia" w:ascii="仿宋" w:hAnsi="仿宋" w:eastAsia="仿宋"/>
                <w:sz w:val="28"/>
                <w:szCs w:val="28"/>
              </w:rPr>
              <w:t>2</w:t>
            </w:r>
          </w:p>
        </w:tc>
        <w:tc>
          <w:tcPr>
            <w:tcW w:w="1097" w:type="dxa"/>
            <w:vAlign w:val="center"/>
          </w:tcPr>
          <w:p>
            <w:pPr>
              <w:jc w:val="center"/>
              <w:rPr>
                <w:rFonts w:ascii="仿宋" w:hAnsi="仿宋" w:eastAsia="仿宋"/>
                <w:sz w:val="28"/>
                <w:szCs w:val="28"/>
              </w:rPr>
            </w:pPr>
            <w:r>
              <w:rPr>
                <w:rFonts w:hint="eastAsia" w:ascii="仿宋" w:hAnsi="仿宋" w:eastAsia="仿宋" w:cs="宋体"/>
                <w:sz w:val="28"/>
                <w:szCs w:val="28"/>
              </w:rPr>
              <w:t>于  涛</w:t>
            </w:r>
          </w:p>
        </w:tc>
        <w:tc>
          <w:tcPr>
            <w:tcW w:w="3078" w:type="dxa"/>
            <w:vAlign w:val="center"/>
          </w:tcPr>
          <w:p>
            <w:pPr>
              <w:jc w:val="left"/>
              <w:rPr>
                <w:rFonts w:ascii="仿宋" w:hAnsi="仿宋" w:eastAsia="仿宋"/>
                <w:sz w:val="28"/>
                <w:szCs w:val="28"/>
              </w:rPr>
            </w:pPr>
            <w:r>
              <w:rPr>
                <w:rFonts w:hint="eastAsia" w:ascii="仿宋" w:hAnsi="仿宋" w:eastAsia="仿宋"/>
                <w:sz w:val="28"/>
                <w:szCs w:val="28"/>
              </w:rPr>
              <w:t>济南科技创新促进中心</w:t>
            </w:r>
          </w:p>
        </w:tc>
        <w:tc>
          <w:tcPr>
            <w:tcW w:w="4469" w:type="dxa"/>
            <w:vAlign w:val="center"/>
          </w:tcPr>
          <w:p>
            <w:pPr>
              <w:jc w:val="left"/>
              <w:rPr>
                <w:rFonts w:ascii="仿宋" w:hAnsi="仿宋" w:eastAsia="仿宋"/>
                <w:sz w:val="28"/>
                <w:szCs w:val="28"/>
              </w:rPr>
            </w:pPr>
            <w:r>
              <w:rPr>
                <w:rFonts w:hint="eastAsia" w:ascii="仿宋" w:hAnsi="仿宋" w:eastAsia="仿宋" w:cs="宋体"/>
                <w:sz w:val="28"/>
                <w:szCs w:val="28"/>
              </w:rPr>
              <w:t>标准框架制定、资料汇总梳理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8" w:type="dxa"/>
            <w:vAlign w:val="center"/>
          </w:tcPr>
          <w:p>
            <w:pPr>
              <w:jc w:val="center"/>
              <w:rPr>
                <w:rFonts w:ascii="仿宋" w:hAnsi="仿宋" w:eastAsia="仿宋"/>
                <w:sz w:val="28"/>
                <w:szCs w:val="28"/>
              </w:rPr>
            </w:pPr>
            <w:r>
              <w:rPr>
                <w:rFonts w:hint="eastAsia" w:ascii="仿宋" w:hAnsi="仿宋" w:eastAsia="仿宋"/>
                <w:sz w:val="28"/>
                <w:szCs w:val="28"/>
              </w:rPr>
              <w:t>3</w:t>
            </w:r>
          </w:p>
        </w:tc>
        <w:tc>
          <w:tcPr>
            <w:tcW w:w="1097" w:type="dxa"/>
            <w:vAlign w:val="center"/>
          </w:tcPr>
          <w:p>
            <w:pPr>
              <w:jc w:val="center"/>
              <w:rPr>
                <w:rFonts w:ascii="仿宋" w:hAnsi="仿宋" w:eastAsia="仿宋"/>
                <w:sz w:val="28"/>
                <w:szCs w:val="28"/>
              </w:rPr>
            </w:pPr>
            <w:r>
              <w:rPr>
                <w:rFonts w:hint="eastAsia" w:ascii="仿宋" w:hAnsi="仿宋" w:eastAsia="仿宋" w:cs="宋体"/>
                <w:sz w:val="28"/>
                <w:szCs w:val="28"/>
              </w:rPr>
              <w:t>田延彬</w:t>
            </w:r>
          </w:p>
        </w:tc>
        <w:tc>
          <w:tcPr>
            <w:tcW w:w="3078" w:type="dxa"/>
            <w:vAlign w:val="center"/>
          </w:tcPr>
          <w:p>
            <w:pPr>
              <w:jc w:val="left"/>
              <w:rPr>
                <w:rFonts w:ascii="仿宋" w:hAnsi="仿宋" w:eastAsia="仿宋"/>
                <w:sz w:val="28"/>
                <w:szCs w:val="28"/>
              </w:rPr>
            </w:pPr>
            <w:r>
              <w:rPr>
                <w:rFonts w:hint="eastAsia" w:ascii="仿宋" w:hAnsi="仿宋" w:eastAsia="仿宋"/>
                <w:sz w:val="28"/>
                <w:szCs w:val="28"/>
              </w:rPr>
              <w:t>济南科技创新促进中心</w:t>
            </w:r>
          </w:p>
        </w:tc>
        <w:tc>
          <w:tcPr>
            <w:tcW w:w="4469" w:type="dxa"/>
            <w:vAlign w:val="center"/>
          </w:tcPr>
          <w:p>
            <w:pPr>
              <w:jc w:val="left"/>
              <w:rPr>
                <w:rFonts w:ascii="仿宋" w:hAnsi="仿宋" w:eastAsia="仿宋"/>
                <w:sz w:val="28"/>
                <w:szCs w:val="28"/>
              </w:rPr>
            </w:pPr>
            <w:r>
              <w:rPr>
                <w:rFonts w:hint="eastAsia" w:ascii="仿宋" w:hAnsi="仿宋" w:eastAsia="仿宋" w:cs="宋体"/>
                <w:sz w:val="28"/>
                <w:szCs w:val="28"/>
              </w:rPr>
              <w:t>标准主要技术内容确定设计、工作调度、标准调研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8" w:type="dxa"/>
            <w:vAlign w:val="center"/>
          </w:tcPr>
          <w:p>
            <w:pPr>
              <w:jc w:val="center"/>
              <w:rPr>
                <w:rFonts w:ascii="仿宋" w:hAnsi="仿宋" w:eastAsia="仿宋"/>
                <w:sz w:val="28"/>
                <w:szCs w:val="28"/>
              </w:rPr>
            </w:pPr>
            <w:r>
              <w:rPr>
                <w:rFonts w:ascii="仿宋" w:hAnsi="仿宋" w:eastAsia="仿宋"/>
                <w:sz w:val="28"/>
                <w:szCs w:val="28"/>
              </w:rPr>
              <w:t>4</w:t>
            </w:r>
          </w:p>
        </w:tc>
        <w:tc>
          <w:tcPr>
            <w:tcW w:w="1097" w:type="dxa"/>
            <w:vAlign w:val="center"/>
          </w:tcPr>
          <w:p>
            <w:pPr>
              <w:jc w:val="center"/>
              <w:rPr>
                <w:rFonts w:ascii="仿宋" w:hAnsi="仿宋" w:eastAsia="仿宋" w:cs="宋体"/>
                <w:sz w:val="28"/>
                <w:szCs w:val="28"/>
              </w:rPr>
            </w:pPr>
            <w:r>
              <w:rPr>
                <w:rFonts w:hint="eastAsia" w:ascii="仿宋" w:hAnsi="仿宋" w:eastAsia="仿宋" w:cs="宋体"/>
                <w:sz w:val="28"/>
                <w:szCs w:val="28"/>
              </w:rPr>
              <w:t xml:space="preserve">王 </w:t>
            </w:r>
            <w:r>
              <w:rPr>
                <w:rFonts w:ascii="仿宋" w:hAnsi="仿宋" w:eastAsia="仿宋" w:cs="宋体"/>
                <w:sz w:val="28"/>
                <w:szCs w:val="28"/>
              </w:rPr>
              <w:t xml:space="preserve"> </w:t>
            </w:r>
            <w:r>
              <w:rPr>
                <w:rFonts w:hint="eastAsia" w:ascii="仿宋" w:hAnsi="仿宋" w:eastAsia="仿宋" w:cs="宋体"/>
                <w:sz w:val="28"/>
                <w:szCs w:val="28"/>
              </w:rPr>
              <w:t>鹏</w:t>
            </w:r>
          </w:p>
        </w:tc>
        <w:tc>
          <w:tcPr>
            <w:tcW w:w="3078" w:type="dxa"/>
            <w:vAlign w:val="center"/>
          </w:tcPr>
          <w:p>
            <w:pPr>
              <w:jc w:val="left"/>
              <w:rPr>
                <w:rFonts w:ascii="仿宋" w:hAnsi="仿宋" w:eastAsia="仿宋"/>
                <w:sz w:val="28"/>
                <w:szCs w:val="28"/>
              </w:rPr>
            </w:pPr>
            <w:r>
              <w:rPr>
                <w:rFonts w:hint="eastAsia" w:ascii="仿宋" w:hAnsi="仿宋" w:eastAsia="仿宋"/>
                <w:sz w:val="28"/>
                <w:szCs w:val="28"/>
              </w:rPr>
              <w:t>济南科技创新促进中心</w:t>
            </w:r>
          </w:p>
        </w:tc>
        <w:tc>
          <w:tcPr>
            <w:tcW w:w="4469" w:type="dxa"/>
            <w:vAlign w:val="center"/>
          </w:tcPr>
          <w:p>
            <w:pPr>
              <w:jc w:val="left"/>
              <w:rPr>
                <w:rFonts w:ascii="仿宋" w:hAnsi="仿宋" w:eastAsia="仿宋" w:cs="宋体"/>
                <w:sz w:val="28"/>
                <w:szCs w:val="28"/>
              </w:rPr>
            </w:pPr>
            <w:r>
              <w:rPr>
                <w:rFonts w:hint="eastAsia" w:ascii="仿宋" w:hAnsi="仿宋" w:eastAsia="仿宋" w:cs="宋体"/>
                <w:sz w:val="28"/>
                <w:szCs w:val="28"/>
              </w:rPr>
              <w:t>标准总体策划统筹、工作调度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8" w:type="dxa"/>
            <w:vAlign w:val="center"/>
          </w:tcPr>
          <w:p>
            <w:pPr>
              <w:jc w:val="center"/>
              <w:rPr>
                <w:rFonts w:ascii="仿宋" w:hAnsi="仿宋" w:eastAsia="仿宋"/>
                <w:sz w:val="28"/>
                <w:szCs w:val="28"/>
              </w:rPr>
            </w:pPr>
            <w:r>
              <w:rPr>
                <w:rFonts w:ascii="仿宋" w:hAnsi="仿宋" w:eastAsia="仿宋"/>
                <w:sz w:val="28"/>
                <w:szCs w:val="28"/>
              </w:rPr>
              <w:t>5</w:t>
            </w:r>
          </w:p>
        </w:tc>
        <w:tc>
          <w:tcPr>
            <w:tcW w:w="1097" w:type="dxa"/>
            <w:vAlign w:val="center"/>
          </w:tcPr>
          <w:p>
            <w:pPr>
              <w:jc w:val="center"/>
              <w:rPr>
                <w:rFonts w:ascii="仿宋" w:hAnsi="仿宋" w:eastAsia="仿宋"/>
                <w:sz w:val="28"/>
                <w:szCs w:val="28"/>
              </w:rPr>
            </w:pPr>
            <w:r>
              <w:rPr>
                <w:rFonts w:hint="eastAsia" w:ascii="仿宋" w:hAnsi="仿宋" w:eastAsia="仿宋" w:cs="宋体"/>
                <w:sz w:val="28"/>
                <w:szCs w:val="28"/>
              </w:rPr>
              <w:t>郝新刚</w:t>
            </w:r>
          </w:p>
        </w:tc>
        <w:tc>
          <w:tcPr>
            <w:tcW w:w="3078" w:type="dxa"/>
            <w:vAlign w:val="center"/>
          </w:tcPr>
          <w:p>
            <w:pPr>
              <w:jc w:val="left"/>
              <w:rPr>
                <w:rFonts w:ascii="仿宋" w:hAnsi="仿宋" w:eastAsia="仿宋"/>
                <w:sz w:val="28"/>
                <w:szCs w:val="28"/>
              </w:rPr>
            </w:pPr>
            <w:r>
              <w:rPr>
                <w:rFonts w:hint="eastAsia" w:ascii="仿宋" w:hAnsi="仿宋" w:eastAsia="仿宋"/>
                <w:sz w:val="28"/>
                <w:szCs w:val="28"/>
              </w:rPr>
              <w:t>山东省创新发展研究院</w:t>
            </w:r>
          </w:p>
        </w:tc>
        <w:tc>
          <w:tcPr>
            <w:tcW w:w="4469" w:type="dxa"/>
            <w:vAlign w:val="center"/>
          </w:tcPr>
          <w:p>
            <w:pPr>
              <w:jc w:val="left"/>
              <w:rPr>
                <w:rFonts w:ascii="仿宋" w:hAnsi="仿宋" w:eastAsia="仿宋"/>
                <w:sz w:val="28"/>
                <w:szCs w:val="28"/>
              </w:rPr>
            </w:pPr>
            <w:r>
              <w:rPr>
                <w:rFonts w:hint="eastAsia" w:ascii="仿宋" w:hAnsi="仿宋" w:eastAsia="仿宋" w:cs="宋体"/>
                <w:sz w:val="28"/>
                <w:szCs w:val="28"/>
              </w:rPr>
              <w:t>标准主要技术内容策划、工作调度、标准调研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8" w:type="dxa"/>
            <w:vAlign w:val="center"/>
          </w:tcPr>
          <w:p>
            <w:pPr>
              <w:jc w:val="center"/>
              <w:rPr>
                <w:rFonts w:ascii="仿宋" w:hAnsi="仿宋" w:eastAsia="仿宋"/>
                <w:sz w:val="28"/>
                <w:szCs w:val="28"/>
              </w:rPr>
            </w:pPr>
            <w:r>
              <w:rPr>
                <w:rFonts w:ascii="仿宋" w:hAnsi="仿宋" w:eastAsia="仿宋"/>
                <w:sz w:val="28"/>
                <w:szCs w:val="28"/>
              </w:rPr>
              <w:t>6</w:t>
            </w:r>
          </w:p>
        </w:tc>
        <w:tc>
          <w:tcPr>
            <w:tcW w:w="1097" w:type="dxa"/>
            <w:vAlign w:val="center"/>
          </w:tcPr>
          <w:p>
            <w:pPr>
              <w:jc w:val="center"/>
              <w:rPr>
                <w:rFonts w:ascii="仿宋" w:hAnsi="仿宋" w:eastAsia="仿宋"/>
                <w:sz w:val="28"/>
                <w:szCs w:val="28"/>
              </w:rPr>
            </w:pPr>
            <w:r>
              <w:rPr>
                <w:rFonts w:hint="eastAsia" w:ascii="仿宋" w:hAnsi="仿宋" w:eastAsia="仿宋" w:cs="宋体"/>
                <w:sz w:val="28"/>
                <w:szCs w:val="28"/>
              </w:rPr>
              <w:t>冯  文</w:t>
            </w:r>
          </w:p>
        </w:tc>
        <w:tc>
          <w:tcPr>
            <w:tcW w:w="3078" w:type="dxa"/>
            <w:vAlign w:val="center"/>
          </w:tcPr>
          <w:p>
            <w:pPr>
              <w:jc w:val="left"/>
              <w:rPr>
                <w:rFonts w:ascii="仿宋" w:hAnsi="仿宋" w:eastAsia="仿宋"/>
                <w:sz w:val="28"/>
                <w:szCs w:val="28"/>
              </w:rPr>
            </w:pPr>
            <w:r>
              <w:rPr>
                <w:rFonts w:hint="eastAsia" w:ascii="仿宋" w:hAnsi="仿宋" w:eastAsia="仿宋"/>
                <w:sz w:val="28"/>
                <w:szCs w:val="28"/>
              </w:rPr>
              <w:t>山东省创新发展研究院</w:t>
            </w:r>
          </w:p>
        </w:tc>
        <w:tc>
          <w:tcPr>
            <w:tcW w:w="4469" w:type="dxa"/>
            <w:vAlign w:val="center"/>
          </w:tcPr>
          <w:p>
            <w:pPr>
              <w:jc w:val="left"/>
              <w:rPr>
                <w:rFonts w:ascii="仿宋" w:hAnsi="仿宋" w:eastAsia="仿宋"/>
                <w:sz w:val="28"/>
                <w:szCs w:val="28"/>
              </w:rPr>
            </w:pPr>
            <w:r>
              <w:rPr>
                <w:rFonts w:hint="eastAsia" w:ascii="仿宋" w:hAnsi="仿宋" w:eastAsia="仿宋" w:cs="宋体"/>
                <w:sz w:val="28"/>
                <w:szCs w:val="28"/>
              </w:rPr>
              <w:t>技术转移服务、技术研发服务等资料整理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8" w:type="dxa"/>
            <w:vAlign w:val="center"/>
          </w:tcPr>
          <w:p>
            <w:pPr>
              <w:jc w:val="center"/>
              <w:rPr>
                <w:rFonts w:ascii="仿宋" w:hAnsi="仿宋" w:eastAsia="仿宋"/>
                <w:sz w:val="28"/>
                <w:szCs w:val="28"/>
              </w:rPr>
            </w:pPr>
            <w:r>
              <w:rPr>
                <w:rFonts w:ascii="仿宋" w:hAnsi="仿宋" w:eastAsia="仿宋"/>
                <w:sz w:val="28"/>
                <w:szCs w:val="28"/>
              </w:rPr>
              <w:t>7</w:t>
            </w:r>
          </w:p>
        </w:tc>
        <w:tc>
          <w:tcPr>
            <w:tcW w:w="1097" w:type="dxa"/>
            <w:vAlign w:val="center"/>
          </w:tcPr>
          <w:p>
            <w:pPr>
              <w:jc w:val="center"/>
              <w:rPr>
                <w:rFonts w:ascii="仿宋" w:hAnsi="仿宋" w:eastAsia="仿宋"/>
                <w:sz w:val="28"/>
                <w:szCs w:val="28"/>
              </w:rPr>
            </w:pPr>
            <w:r>
              <w:rPr>
                <w:rFonts w:hint="eastAsia" w:ascii="仿宋" w:hAnsi="仿宋" w:eastAsia="仿宋" w:cs="宋体"/>
                <w:sz w:val="28"/>
                <w:szCs w:val="28"/>
              </w:rPr>
              <w:t>张惠莉</w:t>
            </w:r>
          </w:p>
        </w:tc>
        <w:tc>
          <w:tcPr>
            <w:tcW w:w="3078" w:type="dxa"/>
            <w:vAlign w:val="center"/>
          </w:tcPr>
          <w:p>
            <w:pPr>
              <w:jc w:val="left"/>
              <w:rPr>
                <w:rFonts w:ascii="仿宋" w:hAnsi="仿宋" w:eastAsia="仿宋"/>
                <w:sz w:val="28"/>
                <w:szCs w:val="28"/>
              </w:rPr>
            </w:pPr>
            <w:r>
              <w:rPr>
                <w:rFonts w:hint="eastAsia" w:ascii="仿宋" w:hAnsi="仿宋" w:eastAsia="仿宋"/>
                <w:sz w:val="28"/>
                <w:szCs w:val="28"/>
              </w:rPr>
              <w:t>山东省创新发展研究院</w:t>
            </w:r>
          </w:p>
        </w:tc>
        <w:tc>
          <w:tcPr>
            <w:tcW w:w="4469" w:type="dxa"/>
            <w:vAlign w:val="center"/>
          </w:tcPr>
          <w:p>
            <w:pPr>
              <w:jc w:val="left"/>
              <w:rPr>
                <w:rFonts w:ascii="仿宋" w:hAnsi="仿宋" w:eastAsia="仿宋"/>
                <w:sz w:val="28"/>
                <w:szCs w:val="28"/>
              </w:rPr>
            </w:pPr>
            <w:r>
              <w:rPr>
                <w:rFonts w:hint="eastAsia" w:ascii="仿宋" w:hAnsi="仿宋" w:eastAsia="仿宋" w:cs="宋体"/>
                <w:sz w:val="28"/>
                <w:szCs w:val="28"/>
              </w:rPr>
              <w:t>技术转移服务、技术研发服务等资料整理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8" w:type="dxa"/>
            <w:vAlign w:val="center"/>
          </w:tcPr>
          <w:p>
            <w:pPr>
              <w:jc w:val="center"/>
              <w:rPr>
                <w:rFonts w:ascii="仿宋" w:hAnsi="仿宋" w:eastAsia="仿宋" w:cs="Times New Roman"/>
                <w:kern w:val="2"/>
                <w:sz w:val="28"/>
                <w:szCs w:val="28"/>
                <w:lang w:val="en-US" w:eastAsia="zh-CN" w:bidi="ar-SA"/>
              </w:rPr>
            </w:pPr>
            <w:r>
              <w:rPr>
                <w:rFonts w:ascii="仿宋" w:hAnsi="仿宋" w:eastAsia="仿宋"/>
                <w:sz w:val="28"/>
                <w:szCs w:val="28"/>
              </w:rPr>
              <w:t>8</w:t>
            </w:r>
          </w:p>
        </w:tc>
        <w:tc>
          <w:tcPr>
            <w:tcW w:w="1097" w:type="dxa"/>
            <w:vAlign w:val="center"/>
          </w:tcPr>
          <w:p>
            <w:pPr>
              <w:jc w:val="center"/>
              <w:rPr>
                <w:rFonts w:hint="eastAsia" w:ascii="仿宋" w:hAnsi="仿宋" w:eastAsia="仿宋" w:cs="宋体"/>
                <w:sz w:val="28"/>
                <w:szCs w:val="28"/>
              </w:rPr>
            </w:pPr>
            <w:r>
              <w:rPr>
                <w:rFonts w:hint="eastAsia" w:ascii="仿宋" w:hAnsi="仿宋" w:eastAsia="仿宋" w:cs="宋体"/>
                <w:sz w:val="28"/>
                <w:szCs w:val="28"/>
              </w:rPr>
              <w:t>杜书成</w:t>
            </w:r>
          </w:p>
        </w:tc>
        <w:tc>
          <w:tcPr>
            <w:tcW w:w="3078" w:type="dxa"/>
            <w:vAlign w:val="center"/>
          </w:tcPr>
          <w:p>
            <w:pPr>
              <w:jc w:val="left"/>
              <w:rPr>
                <w:rFonts w:hint="eastAsia" w:ascii="仿宋" w:hAnsi="仿宋" w:eastAsia="仿宋"/>
                <w:sz w:val="28"/>
                <w:szCs w:val="28"/>
              </w:rPr>
            </w:pPr>
            <w:r>
              <w:rPr>
                <w:rFonts w:hint="eastAsia" w:ascii="仿宋" w:hAnsi="仿宋" w:eastAsia="仿宋"/>
                <w:sz w:val="28"/>
                <w:szCs w:val="28"/>
              </w:rPr>
              <w:t>青岛市消防救援支队</w:t>
            </w:r>
          </w:p>
        </w:tc>
        <w:tc>
          <w:tcPr>
            <w:tcW w:w="4469" w:type="dxa"/>
            <w:vAlign w:val="center"/>
          </w:tcPr>
          <w:p>
            <w:pPr>
              <w:jc w:val="left"/>
              <w:rPr>
                <w:rFonts w:hint="default" w:ascii="仿宋" w:hAnsi="仿宋" w:eastAsia="仿宋" w:cs="宋体"/>
                <w:sz w:val="28"/>
                <w:szCs w:val="28"/>
                <w:lang w:val="en-US" w:eastAsia="zh-CN"/>
              </w:rPr>
            </w:pPr>
            <w:r>
              <w:rPr>
                <w:rFonts w:hint="eastAsia" w:ascii="仿宋" w:hAnsi="仿宋" w:eastAsia="仿宋" w:cs="宋体"/>
                <w:sz w:val="28"/>
                <w:szCs w:val="28"/>
                <w:lang w:val="en-US" w:eastAsia="zh-CN"/>
              </w:rPr>
              <w:t>过程材料整理汇总、标准调研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8" w:type="dxa"/>
            <w:vAlign w:val="center"/>
          </w:tcPr>
          <w:p>
            <w:pPr>
              <w:jc w:val="center"/>
              <w:rPr>
                <w:rFonts w:ascii="仿宋" w:hAnsi="仿宋" w:eastAsia="仿宋" w:cs="Times New Roman"/>
                <w:kern w:val="2"/>
                <w:sz w:val="28"/>
                <w:szCs w:val="28"/>
                <w:lang w:val="en-US" w:eastAsia="zh-CN" w:bidi="ar-SA"/>
              </w:rPr>
            </w:pPr>
            <w:r>
              <w:rPr>
                <w:rFonts w:ascii="仿宋" w:hAnsi="仿宋" w:eastAsia="仿宋"/>
                <w:sz w:val="28"/>
                <w:szCs w:val="28"/>
              </w:rPr>
              <w:t>9</w:t>
            </w:r>
          </w:p>
        </w:tc>
        <w:tc>
          <w:tcPr>
            <w:tcW w:w="1097" w:type="dxa"/>
            <w:vAlign w:val="center"/>
          </w:tcPr>
          <w:p>
            <w:pPr>
              <w:jc w:val="center"/>
              <w:rPr>
                <w:rFonts w:ascii="仿宋" w:hAnsi="仿宋" w:eastAsia="仿宋" w:cs="宋体"/>
                <w:sz w:val="28"/>
                <w:szCs w:val="28"/>
              </w:rPr>
            </w:pPr>
            <w:r>
              <w:rPr>
                <w:rFonts w:hint="eastAsia" w:ascii="仿宋" w:hAnsi="仿宋" w:eastAsia="仿宋" w:cs="宋体"/>
                <w:sz w:val="28"/>
                <w:szCs w:val="28"/>
              </w:rPr>
              <w:t>杨沣江</w:t>
            </w:r>
          </w:p>
        </w:tc>
        <w:tc>
          <w:tcPr>
            <w:tcW w:w="3078" w:type="dxa"/>
            <w:vAlign w:val="center"/>
          </w:tcPr>
          <w:p>
            <w:pPr>
              <w:jc w:val="left"/>
              <w:rPr>
                <w:rFonts w:ascii="仿宋" w:hAnsi="仿宋" w:eastAsia="仿宋"/>
                <w:sz w:val="28"/>
                <w:szCs w:val="28"/>
              </w:rPr>
            </w:pPr>
            <w:r>
              <w:rPr>
                <w:rFonts w:hint="eastAsia" w:ascii="仿宋" w:hAnsi="仿宋" w:eastAsia="仿宋"/>
                <w:sz w:val="28"/>
                <w:szCs w:val="28"/>
              </w:rPr>
              <w:t>山东省标准化研究院</w:t>
            </w:r>
          </w:p>
        </w:tc>
        <w:tc>
          <w:tcPr>
            <w:tcW w:w="4469" w:type="dxa"/>
            <w:vAlign w:val="center"/>
          </w:tcPr>
          <w:p>
            <w:pPr>
              <w:jc w:val="left"/>
              <w:rPr>
                <w:rFonts w:ascii="仿宋" w:hAnsi="仿宋" w:eastAsia="仿宋"/>
                <w:sz w:val="28"/>
                <w:szCs w:val="28"/>
              </w:rPr>
            </w:pPr>
            <w:r>
              <w:rPr>
                <w:rFonts w:hint="eastAsia" w:ascii="仿宋" w:hAnsi="仿宋" w:eastAsia="仿宋" w:cs="宋体"/>
                <w:sz w:val="28"/>
                <w:szCs w:val="28"/>
              </w:rPr>
              <w:t>资料汇总、标准文本编写、标准调研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8" w:type="dxa"/>
            <w:vAlign w:val="center"/>
          </w:tcPr>
          <w:p>
            <w:pPr>
              <w:jc w:val="center"/>
              <w:rPr>
                <w:rFonts w:ascii="仿宋" w:hAnsi="仿宋" w:eastAsia="仿宋" w:cs="Times New Roman"/>
                <w:kern w:val="2"/>
                <w:sz w:val="28"/>
                <w:szCs w:val="28"/>
                <w:lang w:val="en-US" w:eastAsia="zh-CN" w:bidi="ar-SA"/>
              </w:rPr>
            </w:pPr>
            <w:r>
              <w:rPr>
                <w:rFonts w:ascii="仿宋" w:hAnsi="仿宋" w:eastAsia="仿宋"/>
                <w:sz w:val="28"/>
                <w:szCs w:val="28"/>
              </w:rPr>
              <w:t>10</w:t>
            </w:r>
          </w:p>
        </w:tc>
        <w:tc>
          <w:tcPr>
            <w:tcW w:w="1097" w:type="dxa"/>
            <w:vAlign w:val="center"/>
          </w:tcPr>
          <w:p>
            <w:pPr>
              <w:jc w:val="center"/>
              <w:rPr>
                <w:rFonts w:ascii="仿宋" w:hAnsi="仿宋" w:eastAsia="仿宋" w:cs="宋体"/>
                <w:sz w:val="28"/>
                <w:szCs w:val="28"/>
              </w:rPr>
            </w:pPr>
            <w:r>
              <w:rPr>
                <w:rFonts w:hint="eastAsia" w:ascii="仿宋" w:hAnsi="仿宋" w:eastAsia="仿宋" w:cs="宋体"/>
                <w:sz w:val="28"/>
                <w:szCs w:val="28"/>
              </w:rPr>
              <w:t>张宝武</w:t>
            </w:r>
          </w:p>
        </w:tc>
        <w:tc>
          <w:tcPr>
            <w:tcW w:w="3078" w:type="dxa"/>
            <w:vAlign w:val="center"/>
          </w:tcPr>
          <w:p>
            <w:pPr>
              <w:jc w:val="left"/>
              <w:rPr>
                <w:rFonts w:ascii="仿宋" w:hAnsi="仿宋" w:eastAsia="仿宋"/>
                <w:sz w:val="28"/>
                <w:szCs w:val="28"/>
              </w:rPr>
            </w:pPr>
            <w:r>
              <w:rPr>
                <w:rFonts w:hint="eastAsia" w:ascii="仿宋" w:hAnsi="仿宋" w:eastAsia="仿宋"/>
                <w:sz w:val="28"/>
                <w:szCs w:val="28"/>
              </w:rPr>
              <w:t>山东省标准化研究院</w:t>
            </w:r>
          </w:p>
        </w:tc>
        <w:tc>
          <w:tcPr>
            <w:tcW w:w="4469" w:type="dxa"/>
            <w:vAlign w:val="center"/>
          </w:tcPr>
          <w:p>
            <w:pPr>
              <w:jc w:val="left"/>
              <w:rPr>
                <w:rFonts w:ascii="仿宋" w:hAnsi="仿宋" w:eastAsia="仿宋" w:cs="宋体"/>
                <w:sz w:val="28"/>
                <w:szCs w:val="28"/>
              </w:rPr>
            </w:pPr>
            <w:r>
              <w:rPr>
                <w:rFonts w:hint="eastAsia" w:ascii="仿宋" w:hAnsi="仿宋" w:eastAsia="仿宋" w:cs="宋体"/>
                <w:sz w:val="28"/>
                <w:szCs w:val="28"/>
              </w:rPr>
              <w:t>资料汇总、标准文本整理、标准调研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8" w:type="dxa"/>
            <w:vAlign w:val="center"/>
          </w:tcPr>
          <w:p>
            <w:pPr>
              <w:jc w:val="center"/>
              <w:rPr>
                <w:rFonts w:ascii="仿宋" w:hAnsi="仿宋" w:eastAsia="仿宋" w:cs="Times New Roman"/>
                <w:kern w:val="2"/>
                <w:sz w:val="28"/>
                <w:szCs w:val="28"/>
                <w:lang w:val="en-US" w:eastAsia="zh-CN" w:bidi="ar-SA"/>
              </w:rPr>
            </w:pPr>
            <w:r>
              <w:rPr>
                <w:rFonts w:hint="eastAsia" w:ascii="仿宋" w:hAnsi="仿宋" w:eastAsia="仿宋"/>
                <w:sz w:val="28"/>
                <w:szCs w:val="28"/>
              </w:rPr>
              <w:t>1</w:t>
            </w:r>
            <w:r>
              <w:rPr>
                <w:rFonts w:ascii="仿宋" w:hAnsi="仿宋" w:eastAsia="仿宋"/>
                <w:sz w:val="28"/>
                <w:szCs w:val="28"/>
              </w:rPr>
              <w:t>1</w:t>
            </w:r>
          </w:p>
        </w:tc>
        <w:tc>
          <w:tcPr>
            <w:tcW w:w="1097" w:type="dxa"/>
            <w:vAlign w:val="center"/>
          </w:tcPr>
          <w:p>
            <w:pPr>
              <w:jc w:val="center"/>
              <w:rPr>
                <w:rFonts w:ascii="仿宋" w:hAnsi="仿宋" w:eastAsia="仿宋" w:cs="宋体"/>
                <w:sz w:val="28"/>
                <w:szCs w:val="28"/>
              </w:rPr>
            </w:pPr>
            <w:r>
              <w:rPr>
                <w:rFonts w:ascii="仿宋" w:hAnsi="仿宋" w:eastAsia="仿宋" w:cs="宋体"/>
                <w:sz w:val="28"/>
                <w:szCs w:val="28"/>
              </w:rPr>
              <w:t>罗艳艳</w:t>
            </w:r>
          </w:p>
        </w:tc>
        <w:tc>
          <w:tcPr>
            <w:tcW w:w="3078" w:type="dxa"/>
            <w:vAlign w:val="center"/>
          </w:tcPr>
          <w:p>
            <w:pPr>
              <w:jc w:val="left"/>
              <w:rPr>
                <w:rFonts w:ascii="仿宋" w:hAnsi="仿宋" w:eastAsia="仿宋"/>
                <w:sz w:val="28"/>
                <w:szCs w:val="28"/>
              </w:rPr>
            </w:pPr>
            <w:r>
              <w:rPr>
                <w:rFonts w:hint="eastAsia" w:ascii="仿宋" w:hAnsi="仿宋" w:eastAsia="仿宋"/>
                <w:sz w:val="28"/>
                <w:szCs w:val="28"/>
              </w:rPr>
              <w:t>山东省标准化研究院</w:t>
            </w:r>
          </w:p>
        </w:tc>
        <w:tc>
          <w:tcPr>
            <w:tcW w:w="4469" w:type="dxa"/>
            <w:vAlign w:val="center"/>
          </w:tcPr>
          <w:p>
            <w:pPr>
              <w:jc w:val="left"/>
              <w:rPr>
                <w:rFonts w:ascii="仿宋" w:hAnsi="仿宋" w:eastAsia="仿宋"/>
                <w:sz w:val="28"/>
                <w:szCs w:val="28"/>
              </w:rPr>
            </w:pPr>
            <w:r>
              <w:rPr>
                <w:rFonts w:hint="eastAsia" w:ascii="仿宋" w:hAnsi="仿宋" w:eastAsia="仿宋" w:cs="宋体"/>
                <w:sz w:val="28"/>
                <w:szCs w:val="28"/>
              </w:rPr>
              <w:t>资料汇总、标准文本整理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8" w:type="dxa"/>
            <w:vAlign w:val="center"/>
          </w:tcPr>
          <w:p>
            <w:pPr>
              <w:jc w:val="center"/>
              <w:rPr>
                <w:rFonts w:ascii="仿宋" w:hAnsi="仿宋" w:eastAsia="仿宋" w:cs="Times New Roman"/>
                <w:kern w:val="2"/>
                <w:sz w:val="28"/>
                <w:szCs w:val="28"/>
                <w:lang w:val="en-US" w:eastAsia="zh-CN" w:bidi="ar-SA"/>
              </w:rPr>
            </w:pPr>
            <w:r>
              <w:rPr>
                <w:rFonts w:hint="eastAsia" w:ascii="仿宋" w:hAnsi="仿宋" w:eastAsia="仿宋"/>
                <w:sz w:val="28"/>
                <w:szCs w:val="28"/>
              </w:rPr>
              <w:t>1</w:t>
            </w:r>
            <w:r>
              <w:rPr>
                <w:rFonts w:ascii="仿宋" w:hAnsi="仿宋" w:eastAsia="仿宋"/>
                <w:sz w:val="28"/>
                <w:szCs w:val="28"/>
              </w:rPr>
              <w:t>2</w:t>
            </w:r>
          </w:p>
        </w:tc>
        <w:tc>
          <w:tcPr>
            <w:tcW w:w="1097" w:type="dxa"/>
            <w:vAlign w:val="center"/>
          </w:tcPr>
          <w:p>
            <w:pPr>
              <w:jc w:val="center"/>
              <w:rPr>
                <w:rFonts w:hint="eastAsia" w:ascii="仿宋" w:hAnsi="仿宋" w:eastAsia="仿宋" w:cs="宋体"/>
                <w:sz w:val="28"/>
                <w:szCs w:val="28"/>
                <w:lang w:val="en-US" w:eastAsia="zh-CN"/>
              </w:rPr>
            </w:pPr>
            <w:r>
              <w:rPr>
                <w:rFonts w:hint="eastAsia" w:ascii="仿宋" w:hAnsi="仿宋" w:eastAsia="仿宋" w:cs="宋体"/>
                <w:sz w:val="28"/>
                <w:szCs w:val="28"/>
                <w:lang w:val="en-US" w:eastAsia="zh-CN"/>
              </w:rPr>
              <w:t>相吉利</w:t>
            </w:r>
          </w:p>
        </w:tc>
        <w:tc>
          <w:tcPr>
            <w:tcW w:w="3078" w:type="dxa"/>
            <w:vAlign w:val="center"/>
          </w:tcPr>
          <w:p>
            <w:pPr>
              <w:jc w:val="left"/>
              <w:rPr>
                <w:rFonts w:hint="default" w:ascii="仿宋" w:hAnsi="仿宋" w:eastAsia="仿宋"/>
                <w:sz w:val="28"/>
                <w:szCs w:val="28"/>
                <w:lang w:val="en-US" w:eastAsia="zh-CN"/>
              </w:rPr>
            </w:pPr>
            <w:r>
              <w:rPr>
                <w:rFonts w:hint="eastAsia" w:ascii="仿宋" w:hAnsi="仿宋" w:eastAsia="仿宋"/>
                <w:sz w:val="28"/>
                <w:szCs w:val="28"/>
                <w:lang w:val="en-US" w:eastAsia="zh-CN"/>
              </w:rPr>
              <w:t>山东省标准化研究院</w:t>
            </w:r>
          </w:p>
        </w:tc>
        <w:tc>
          <w:tcPr>
            <w:tcW w:w="4469" w:type="dxa"/>
            <w:vAlign w:val="center"/>
          </w:tcPr>
          <w:p>
            <w:pPr>
              <w:jc w:val="left"/>
              <w:rPr>
                <w:rFonts w:hint="default" w:ascii="仿宋" w:hAnsi="仿宋" w:eastAsia="仿宋" w:cs="宋体"/>
                <w:sz w:val="28"/>
                <w:szCs w:val="28"/>
                <w:lang w:val="en-US" w:eastAsia="zh-CN"/>
              </w:rPr>
            </w:pPr>
            <w:r>
              <w:rPr>
                <w:rFonts w:hint="eastAsia" w:ascii="仿宋" w:hAnsi="仿宋" w:eastAsia="仿宋" w:cs="宋体"/>
                <w:sz w:val="28"/>
                <w:szCs w:val="28"/>
                <w:lang w:val="en-US" w:eastAsia="zh-CN"/>
              </w:rPr>
              <w:t>标准调研、资料汇总整理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8" w:type="dxa"/>
            <w:vAlign w:val="center"/>
          </w:tcPr>
          <w:p>
            <w:pPr>
              <w:jc w:val="center"/>
              <w:rPr>
                <w:rFonts w:ascii="仿宋" w:hAnsi="仿宋" w:eastAsia="仿宋" w:cs="Times New Roman"/>
                <w:kern w:val="2"/>
                <w:sz w:val="28"/>
                <w:szCs w:val="28"/>
                <w:lang w:val="en-US" w:eastAsia="zh-CN" w:bidi="ar-SA"/>
              </w:rPr>
            </w:pPr>
            <w:r>
              <w:rPr>
                <w:rFonts w:hint="eastAsia" w:ascii="仿宋" w:hAnsi="仿宋" w:eastAsia="仿宋"/>
                <w:sz w:val="28"/>
                <w:szCs w:val="28"/>
              </w:rPr>
              <w:t>1</w:t>
            </w:r>
            <w:r>
              <w:rPr>
                <w:rFonts w:ascii="仿宋" w:hAnsi="仿宋" w:eastAsia="仿宋"/>
                <w:sz w:val="28"/>
                <w:szCs w:val="28"/>
              </w:rPr>
              <w:t>3</w:t>
            </w:r>
          </w:p>
        </w:tc>
        <w:tc>
          <w:tcPr>
            <w:tcW w:w="1097" w:type="dxa"/>
            <w:vAlign w:val="center"/>
          </w:tcPr>
          <w:p>
            <w:pPr>
              <w:jc w:val="center"/>
              <w:rPr>
                <w:rFonts w:ascii="仿宋" w:hAnsi="仿宋" w:eastAsia="仿宋" w:cs="宋体"/>
                <w:sz w:val="28"/>
                <w:szCs w:val="28"/>
              </w:rPr>
            </w:pPr>
            <w:r>
              <w:rPr>
                <w:rFonts w:hint="eastAsia" w:ascii="仿宋" w:hAnsi="仿宋" w:eastAsia="仿宋" w:cs="宋体"/>
                <w:sz w:val="28"/>
                <w:szCs w:val="28"/>
              </w:rPr>
              <w:t>崔文静</w:t>
            </w:r>
          </w:p>
        </w:tc>
        <w:tc>
          <w:tcPr>
            <w:tcW w:w="3078" w:type="dxa"/>
            <w:vAlign w:val="center"/>
          </w:tcPr>
          <w:p>
            <w:pPr>
              <w:jc w:val="left"/>
              <w:rPr>
                <w:rFonts w:ascii="仿宋" w:hAnsi="仿宋" w:eastAsia="仿宋"/>
                <w:sz w:val="28"/>
                <w:szCs w:val="28"/>
              </w:rPr>
            </w:pPr>
            <w:r>
              <w:rPr>
                <w:rFonts w:hint="eastAsia" w:ascii="仿宋" w:hAnsi="仿宋" w:eastAsia="仿宋"/>
                <w:sz w:val="28"/>
                <w:szCs w:val="28"/>
              </w:rPr>
              <w:t>山东产权交易集团有限公司</w:t>
            </w:r>
          </w:p>
        </w:tc>
        <w:tc>
          <w:tcPr>
            <w:tcW w:w="4469" w:type="dxa"/>
            <w:vAlign w:val="center"/>
          </w:tcPr>
          <w:p>
            <w:pPr>
              <w:jc w:val="left"/>
              <w:rPr>
                <w:rFonts w:ascii="仿宋" w:hAnsi="仿宋" w:eastAsia="仿宋"/>
                <w:sz w:val="28"/>
                <w:szCs w:val="28"/>
              </w:rPr>
            </w:pPr>
            <w:r>
              <w:rPr>
                <w:rFonts w:hint="eastAsia" w:ascii="仿宋" w:hAnsi="仿宋" w:eastAsia="仿宋" w:cs="宋体"/>
                <w:sz w:val="28"/>
                <w:szCs w:val="28"/>
              </w:rPr>
              <w:t>技术转移服务、知识产权服务等资料整理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8" w:type="dxa"/>
            <w:vAlign w:val="center"/>
          </w:tcPr>
          <w:p>
            <w:pPr>
              <w:jc w:val="center"/>
              <w:rPr>
                <w:rFonts w:ascii="仿宋" w:hAnsi="仿宋" w:eastAsia="仿宋" w:cs="Times New Roman"/>
                <w:kern w:val="2"/>
                <w:sz w:val="28"/>
                <w:szCs w:val="28"/>
                <w:lang w:val="en-US" w:eastAsia="zh-CN" w:bidi="ar-SA"/>
              </w:rPr>
            </w:pPr>
            <w:r>
              <w:rPr>
                <w:rFonts w:hint="eastAsia" w:ascii="仿宋" w:hAnsi="仿宋" w:eastAsia="仿宋"/>
                <w:sz w:val="28"/>
                <w:szCs w:val="28"/>
              </w:rPr>
              <w:t>1</w:t>
            </w:r>
            <w:r>
              <w:rPr>
                <w:rFonts w:ascii="仿宋" w:hAnsi="仿宋" w:eastAsia="仿宋"/>
                <w:sz w:val="28"/>
                <w:szCs w:val="28"/>
              </w:rPr>
              <w:t>4</w:t>
            </w:r>
          </w:p>
        </w:tc>
        <w:tc>
          <w:tcPr>
            <w:tcW w:w="1097" w:type="dxa"/>
            <w:vAlign w:val="center"/>
          </w:tcPr>
          <w:p>
            <w:pPr>
              <w:jc w:val="center"/>
              <w:rPr>
                <w:rFonts w:ascii="仿宋" w:hAnsi="仿宋" w:eastAsia="仿宋" w:cs="宋体"/>
                <w:sz w:val="28"/>
                <w:szCs w:val="28"/>
              </w:rPr>
            </w:pPr>
            <w:r>
              <w:rPr>
                <w:rFonts w:hint="eastAsia" w:ascii="仿宋" w:hAnsi="仿宋" w:eastAsia="仿宋" w:cs="宋体"/>
                <w:sz w:val="28"/>
                <w:szCs w:val="28"/>
              </w:rPr>
              <w:t>房雪菲</w:t>
            </w:r>
          </w:p>
        </w:tc>
        <w:tc>
          <w:tcPr>
            <w:tcW w:w="3078" w:type="dxa"/>
            <w:vAlign w:val="center"/>
          </w:tcPr>
          <w:p>
            <w:pPr>
              <w:jc w:val="left"/>
              <w:rPr>
                <w:rFonts w:ascii="仿宋" w:hAnsi="仿宋" w:eastAsia="仿宋"/>
                <w:sz w:val="28"/>
                <w:szCs w:val="28"/>
              </w:rPr>
            </w:pPr>
            <w:r>
              <w:rPr>
                <w:rFonts w:hint="eastAsia" w:ascii="仿宋" w:hAnsi="仿宋" w:eastAsia="仿宋"/>
                <w:sz w:val="28"/>
                <w:szCs w:val="28"/>
              </w:rPr>
              <w:t>山东产权交易集团有限公司</w:t>
            </w:r>
          </w:p>
        </w:tc>
        <w:tc>
          <w:tcPr>
            <w:tcW w:w="4469" w:type="dxa"/>
            <w:vAlign w:val="center"/>
          </w:tcPr>
          <w:p>
            <w:pPr>
              <w:jc w:val="left"/>
              <w:rPr>
                <w:rFonts w:ascii="仿宋" w:hAnsi="仿宋" w:eastAsia="仿宋"/>
                <w:sz w:val="28"/>
                <w:szCs w:val="28"/>
              </w:rPr>
            </w:pPr>
            <w:r>
              <w:rPr>
                <w:rFonts w:hint="eastAsia" w:ascii="仿宋" w:hAnsi="仿宋" w:eastAsia="仿宋" w:cs="宋体"/>
                <w:sz w:val="28"/>
                <w:szCs w:val="28"/>
              </w:rPr>
              <w:t>技术转移服务、知识产权服务等资料整理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8" w:type="dxa"/>
            <w:vAlign w:val="center"/>
          </w:tcPr>
          <w:p>
            <w:pPr>
              <w:jc w:val="center"/>
              <w:rPr>
                <w:rFonts w:hint="eastAsia" w:ascii="仿宋" w:hAnsi="仿宋" w:eastAsia="仿宋" w:cs="Times New Roman"/>
                <w:kern w:val="2"/>
                <w:sz w:val="28"/>
                <w:szCs w:val="28"/>
                <w:lang w:val="en-US" w:eastAsia="zh-CN" w:bidi="ar-SA"/>
              </w:rPr>
            </w:pPr>
            <w:r>
              <w:rPr>
                <w:rFonts w:hint="eastAsia" w:ascii="仿宋" w:hAnsi="仿宋" w:eastAsia="仿宋"/>
                <w:sz w:val="28"/>
                <w:szCs w:val="28"/>
              </w:rPr>
              <w:t>1</w:t>
            </w:r>
            <w:r>
              <w:rPr>
                <w:rFonts w:hint="eastAsia" w:ascii="仿宋" w:hAnsi="仿宋" w:eastAsia="仿宋"/>
                <w:sz w:val="28"/>
                <w:szCs w:val="28"/>
                <w:lang w:val="en-US" w:eastAsia="zh-CN"/>
              </w:rPr>
              <w:t>5</w:t>
            </w:r>
          </w:p>
        </w:tc>
        <w:tc>
          <w:tcPr>
            <w:tcW w:w="1097" w:type="dxa"/>
            <w:vAlign w:val="center"/>
          </w:tcPr>
          <w:p>
            <w:pPr>
              <w:jc w:val="center"/>
              <w:rPr>
                <w:rFonts w:ascii="仿宋" w:hAnsi="仿宋" w:eastAsia="仿宋" w:cs="宋体"/>
                <w:sz w:val="28"/>
                <w:szCs w:val="28"/>
              </w:rPr>
            </w:pPr>
            <w:r>
              <w:rPr>
                <w:rFonts w:hint="eastAsia" w:ascii="仿宋" w:hAnsi="仿宋" w:eastAsia="仿宋" w:cs="宋体"/>
                <w:sz w:val="28"/>
                <w:szCs w:val="28"/>
              </w:rPr>
              <w:t>刘金贵</w:t>
            </w:r>
          </w:p>
        </w:tc>
        <w:tc>
          <w:tcPr>
            <w:tcW w:w="3078" w:type="dxa"/>
            <w:vAlign w:val="center"/>
          </w:tcPr>
          <w:p>
            <w:pPr>
              <w:jc w:val="left"/>
              <w:rPr>
                <w:rFonts w:ascii="仿宋" w:hAnsi="仿宋" w:eastAsia="仿宋"/>
                <w:sz w:val="28"/>
                <w:szCs w:val="28"/>
              </w:rPr>
            </w:pPr>
            <w:r>
              <w:rPr>
                <w:rFonts w:hint="eastAsia" w:ascii="仿宋" w:hAnsi="仿宋" w:eastAsia="仿宋"/>
                <w:sz w:val="28"/>
                <w:szCs w:val="28"/>
              </w:rPr>
              <w:t>政和科技股份有限公司</w:t>
            </w:r>
          </w:p>
        </w:tc>
        <w:tc>
          <w:tcPr>
            <w:tcW w:w="4469" w:type="dxa"/>
            <w:vAlign w:val="center"/>
          </w:tcPr>
          <w:p>
            <w:pPr>
              <w:jc w:val="left"/>
              <w:rPr>
                <w:rFonts w:ascii="仿宋" w:hAnsi="仿宋" w:eastAsia="仿宋"/>
                <w:sz w:val="28"/>
                <w:szCs w:val="28"/>
              </w:rPr>
            </w:pPr>
            <w:r>
              <w:rPr>
                <w:rFonts w:hint="eastAsia" w:ascii="仿宋" w:hAnsi="仿宋" w:eastAsia="仿宋" w:cs="宋体"/>
                <w:sz w:val="28"/>
                <w:szCs w:val="28"/>
              </w:rPr>
              <w:t>科技咨询服务、科技金融服务等资料整理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8" w:type="dxa"/>
            <w:vAlign w:val="center"/>
          </w:tcPr>
          <w:p>
            <w:pPr>
              <w:jc w:val="center"/>
              <w:rPr>
                <w:rFonts w:hint="default" w:ascii="仿宋" w:hAnsi="仿宋" w:eastAsia="仿宋"/>
                <w:sz w:val="28"/>
                <w:szCs w:val="28"/>
                <w:lang w:val="en-US" w:eastAsia="zh-CN"/>
              </w:rPr>
            </w:pPr>
            <w:r>
              <w:rPr>
                <w:rFonts w:hint="eastAsia" w:ascii="仿宋" w:hAnsi="仿宋" w:eastAsia="仿宋"/>
                <w:sz w:val="28"/>
                <w:szCs w:val="28"/>
                <w:lang w:val="en-US" w:eastAsia="zh-CN"/>
              </w:rPr>
              <w:t>16</w:t>
            </w:r>
            <w:bookmarkStart w:id="4" w:name="_GoBack"/>
            <w:bookmarkEnd w:id="4"/>
          </w:p>
        </w:tc>
        <w:tc>
          <w:tcPr>
            <w:tcW w:w="1097" w:type="dxa"/>
            <w:vAlign w:val="center"/>
          </w:tcPr>
          <w:p>
            <w:pPr>
              <w:jc w:val="center"/>
              <w:rPr>
                <w:rFonts w:hint="eastAsia" w:ascii="仿宋" w:hAnsi="仿宋" w:eastAsia="仿宋" w:cs="宋体"/>
                <w:sz w:val="28"/>
                <w:szCs w:val="28"/>
                <w:lang w:eastAsia="zh-CN"/>
              </w:rPr>
            </w:pPr>
            <w:r>
              <w:rPr>
                <w:rFonts w:hint="eastAsia" w:ascii="仿宋" w:hAnsi="仿宋" w:eastAsia="仿宋" w:cs="宋体"/>
                <w:sz w:val="28"/>
                <w:szCs w:val="28"/>
                <w:lang w:eastAsia="zh-CN"/>
              </w:rPr>
              <w:t>王晓娜</w:t>
            </w:r>
          </w:p>
        </w:tc>
        <w:tc>
          <w:tcPr>
            <w:tcW w:w="3078" w:type="dxa"/>
            <w:vAlign w:val="center"/>
          </w:tcPr>
          <w:p>
            <w:pPr>
              <w:jc w:val="left"/>
              <w:rPr>
                <w:rFonts w:ascii="仿宋" w:hAnsi="仿宋" w:eastAsia="仿宋"/>
                <w:sz w:val="28"/>
                <w:szCs w:val="28"/>
              </w:rPr>
            </w:pPr>
            <w:r>
              <w:rPr>
                <w:rFonts w:hint="eastAsia" w:ascii="仿宋" w:hAnsi="仿宋" w:eastAsia="仿宋"/>
                <w:sz w:val="28"/>
                <w:szCs w:val="28"/>
              </w:rPr>
              <w:t>政和科技股份有限公司</w:t>
            </w:r>
          </w:p>
        </w:tc>
        <w:tc>
          <w:tcPr>
            <w:tcW w:w="4469" w:type="dxa"/>
            <w:vAlign w:val="center"/>
          </w:tcPr>
          <w:p>
            <w:pPr>
              <w:jc w:val="left"/>
              <w:rPr>
                <w:rFonts w:ascii="仿宋" w:hAnsi="仿宋" w:eastAsia="仿宋"/>
                <w:sz w:val="28"/>
                <w:szCs w:val="28"/>
              </w:rPr>
            </w:pPr>
            <w:r>
              <w:rPr>
                <w:rFonts w:hint="eastAsia" w:ascii="仿宋" w:hAnsi="仿宋" w:eastAsia="仿宋" w:cs="宋体"/>
                <w:sz w:val="28"/>
                <w:szCs w:val="28"/>
              </w:rPr>
              <w:t>科技咨询服务、科技金融服务等资料整理</w:t>
            </w:r>
          </w:p>
        </w:tc>
      </w:tr>
    </w:tbl>
    <w:p>
      <w:pPr>
        <w:spacing w:line="360" w:lineRule="auto"/>
        <w:ind w:firstLine="640" w:firstLineChars="200"/>
        <w:rPr>
          <w:rFonts w:ascii="楷体" w:hAnsi="楷体" w:eastAsia="楷体"/>
          <w:sz w:val="32"/>
          <w:szCs w:val="32"/>
        </w:rPr>
      </w:pPr>
      <w:r>
        <w:rPr>
          <w:rFonts w:hint="eastAsia" w:ascii="楷体" w:hAnsi="楷体" w:eastAsia="楷体"/>
          <w:sz w:val="32"/>
          <w:szCs w:val="32"/>
        </w:rPr>
        <w:t>（三）主要起草过程</w:t>
      </w:r>
      <w:bookmarkStart w:id="0" w:name="_Toc380154347"/>
    </w:p>
    <w:p>
      <w:pPr>
        <w:widowControl/>
        <w:shd w:val="clear" w:color="auto" w:fill="FFFFFF"/>
        <w:ind w:firstLine="640" w:firstLineChars="200"/>
        <w:jc w:val="left"/>
        <w:rPr>
          <w:rFonts w:ascii="仿宋" w:hAnsi="仿宋" w:eastAsia="仿宋"/>
          <w:sz w:val="32"/>
          <w:szCs w:val="32"/>
        </w:rPr>
      </w:pPr>
      <w:r>
        <w:rPr>
          <w:rFonts w:hint="eastAsia" w:ascii="仿宋" w:hAnsi="仿宋" w:eastAsia="仿宋"/>
          <w:sz w:val="32"/>
          <w:szCs w:val="32"/>
        </w:rPr>
        <w:t>本标准编制工作于2019年9月正式启动，确定该标准由济南科技创新促进中心牵头，山东省创新发展研究院等单位参与起草，负责标准技术内容的确定，山东省标准化研究院负责标准规范性，共同组成标准起草工作组。</w:t>
      </w:r>
    </w:p>
    <w:p>
      <w:pPr>
        <w:widowControl/>
        <w:shd w:val="clear" w:color="auto" w:fill="FFFFFF"/>
        <w:ind w:firstLine="640" w:firstLineChars="200"/>
        <w:jc w:val="left"/>
        <w:rPr>
          <w:rFonts w:ascii="仿宋" w:hAnsi="仿宋" w:eastAsia="仿宋"/>
          <w:sz w:val="32"/>
          <w:szCs w:val="32"/>
        </w:rPr>
      </w:pPr>
      <w:r>
        <w:rPr>
          <w:rFonts w:hint="eastAsia" w:ascii="仿宋" w:hAnsi="仿宋" w:eastAsia="仿宋"/>
          <w:sz w:val="32"/>
          <w:szCs w:val="32"/>
        </w:rPr>
        <w:t>标准编制工作包括以下阶段：</w:t>
      </w:r>
    </w:p>
    <w:p>
      <w:pPr>
        <w:widowControl/>
        <w:shd w:val="clear" w:color="auto" w:fill="FFFFFF"/>
        <w:ind w:firstLine="640" w:firstLineChars="200"/>
        <w:jc w:val="left"/>
        <w:rPr>
          <w:rFonts w:ascii="仿宋" w:hAnsi="仿宋" w:eastAsia="仿宋"/>
          <w:sz w:val="32"/>
          <w:szCs w:val="32"/>
        </w:rPr>
      </w:pPr>
      <w:r>
        <w:rPr>
          <w:rFonts w:hint="eastAsia" w:ascii="仿宋" w:hAnsi="仿宋" w:eastAsia="仿宋"/>
          <w:sz w:val="32"/>
          <w:szCs w:val="32"/>
        </w:rPr>
        <w:t>1.第一阶段：2019年9月</w:t>
      </w:r>
      <w:bookmarkEnd w:id="0"/>
      <w:r>
        <w:rPr>
          <w:rFonts w:hint="eastAsia" w:ascii="仿宋" w:hAnsi="仿宋" w:eastAsia="仿宋"/>
          <w:sz w:val="32"/>
          <w:szCs w:val="32"/>
        </w:rPr>
        <w:t>，成立标准起草组，确定标准框架。</w:t>
      </w:r>
    </w:p>
    <w:p>
      <w:pPr>
        <w:widowControl/>
        <w:shd w:val="clear" w:color="auto" w:fill="FFFFFF"/>
        <w:ind w:firstLine="640" w:firstLineChars="200"/>
        <w:jc w:val="left"/>
        <w:rPr>
          <w:rFonts w:ascii="仿宋" w:hAnsi="仿宋" w:eastAsia="仿宋"/>
          <w:sz w:val="32"/>
          <w:szCs w:val="32"/>
        </w:rPr>
      </w:pPr>
      <w:r>
        <w:rPr>
          <w:rFonts w:hint="eastAsia" w:ascii="仿宋" w:hAnsi="仿宋" w:eastAsia="仿宋"/>
          <w:sz w:val="32"/>
          <w:szCs w:val="32"/>
        </w:rPr>
        <w:t>该阶段，工作组成员梳理分析了现行科技型中小企业服务的国家各部委和省级各厅局，以及国家、行业和省内外地方标准，分析了我省面相科技型中小企业服务的种类与特点，在此基础上，结合我省实际工作经验，明确标准的框架和主要技术内容，形成标准框架。</w:t>
      </w:r>
      <w:bookmarkStart w:id="1" w:name="_Toc380154348"/>
    </w:p>
    <w:bookmarkEnd w:id="1"/>
    <w:p>
      <w:pPr>
        <w:widowControl/>
        <w:shd w:val="clear" w:color="auto" w:fill="FFFFFF"/>
        <w:ind w:firstLine="640" w:firstLineChars="200"/>
        <w:jc w:val="left"/>
        <w:rPr>
          <w:rFonts w:ascii="仿宋" w:hAnsi="仿宋" w:eastAsia="仿宋"/>
          <w:sz w:val="32"/>
          <w:szCs w:val="32"/>
        </w:rPr>
      </w:pPr>
      <w:r>
        <w:rPr>
          <w:rFonts w:hint="eastAsia" w:ascii="仿宋" w:hAnsi="仿宋" w:eastAsia="仿宋"/>
          <w:sz w:val="32"/>
          <w:szCs w:val="32"/>
        </w:rPr>
        <w:t>2.第二阶段：2019年10月</w:t>
      </w:r>
      <w:r>
        <w:rPr>
          <w:rFonts w:ascii="仿宋" w:hAnsi="仿宋" w:eastAsia="仿宋"/>
          <w:sz w:val="32"/>
          <w:szCs w:val="32"/>
        </w:rPr>
        <w:t>-</w:t>
      </w:r>
      <w:r>
        <w:rPr>
          <w:rFonts w:hint="eastAsia" w:ascii="仿宋" w:hAnsi="仿宋" w:eastAsia="仿宋"/>
          <w:sz w:val="32"/>
          <w:szCs w:val="32"/>
        </w:rPr>
        <w:t xml:space="preserve">2020年4月，了解科技型中小企业需求，形成标准草案。  </w:t>
      </w:r>
    </w:p>
    <w:p>
      <w:pPr>
        <w:widowControl/>
        <w:shd w:val="clear" w:color="auto" w:fill="FFFFFF"/>
        <w:ind w:firstLine="640" w:firstLineChars="200"/>
        <w:jc w:val="left"/>
        <w:rPr>
          <w:rFonts w:ascii="仿宋" w:hAnsi="仿宋" w:eastAsia="仿宋"/>
          <w:sz w:val="32"/>
          <w:szCs w:val="32"/>
        </w:rPr>
      </w:pPr>
      <w:r>
        <w:rPr>
          <w:rFonts w:hint="eastAsia" w:ascii="仿宋" w:hAnsi="仿宋" w:eastAsia="仿宋"/>
          <w:sz w:val="32"/>
          <w:szCs w:val="32"/>
        </w:rPr>
        <w:t>为确保标准内容的科学性、全面性及可操作性，工作组对科技型中小企业进行调研，并在2020年1月份开展“科技创新服务标准化工作现状问卷调查”,共回收调查问卷130余份，为了解科技型中小企业的服务需求提供样本。</w:t>
      </w:r>
    </w:p>
    <w:p>
      <w:pPr>
        <w:widowControl/>
        <w:shd w:val="clear" w:color="auto" w:fill="FFFFFF"/>
        <w:ind w:firstLine="640" w:firstLineChars="200"/>
        <w:jc w:val="left"/>
        <w:rPr>
          <w:rFonts w:ascii="仿宋" w:hAnsi="仿宋" w:eastAsia="仿宋"/>
          <w:sz w:val="32"/>
          <w:szCs w:val="32"/>
        </w:rPr>
      </w:pPr>
      <w:r>
        <w:rPr>
          <w:rFonts w:hint="eastAsia" w:ascii="仿宋" w:hAnsi="仿宋" w:eastAsia="仿宋"/>
          <w:sz w:val="32"/>
          <w:szCs w:val="32"/>
        </w:rPr>
        <w:t>3.第三阶段：2020年5月-2021年3月，标准草案讨论，形成征求意见稿。</w:t>
      </w:r>
    </w:p>
    <w:p>
      <w:pPr>
        <w:widowControl/>
        <w:shd w:val="clear" w:color="auto" w:fill="FFFFFF"/>
        <w:ind w:firstLine="640" w:firstLineChars="200"/>
        <w:jc w:val="left"/>
        <w:rPr>
          <w:rFonts w:ascii="仿宋" w:hAnsi="仿宋" w:eastAsia="仿宋"/>
          <w:sz w:val="32"/>
          <w:szCs w:val="32"/>
        </w:rPr>
      </w:pPr>
      <w:r>
        <w:rPr>
          <w:rFonts w:hint="eastAsia" w:ascii="仿宋" w:hAnsi="仿宋" w:eastAsia="仿宋"/>
          <w:sz w:val="32"/>
          <w:szCs w:val="32"/>
        </w:rPr>
        <w:t>工作组在此阶段进行多次对接和研讨，并组织科技型中小企业召开多次座谈会，修改标准框架和技术内容，形成征求意见稿。</w:t>
      </w:r>
    </w:p>
    <w:p>
      <w:pPr>
        <w:widowControl/>
        <w:shd w:val="clear" w:color="auto" w:fill="FFFFFF"/>
        <w:ind w:firstLine="640" w:firstLineChars="200"/>
        <w:jc w:val="left"/>
        <w:rPr>
          <w:rFonts w:ascii="仿宋" w:hAnsi="仿宋" w:eastAsia="仿宋"/>
          <w:sz w:val="32"/>
          <w:szCs w:val="32"/>
        </w:rPr>
      </w:pPr>
      <w:r>
        <w:rPr>
          <w:rFonts w:hint="eastAsia" w:ascii="仿宋" w:hAnsi="仿宋" w:eastAsia="仿宋"/>
          <w:sz w:val="32"/>
          <w:szCs w:val="32"/>
        </w:rPr>
        <w:t>4.第四阶段：2021年3月-2022年</w:t>
      </w:r>
      <w:r>
        <w:rPr>
          <w:rFonts w:ascii="仿宋" w:hAnsi="仿宋" w:eastAsia="仿宋"/>
          <w:sz w:val="32"/>
          <w:szCs w:val="32"/>
        </w:rPr>
        <w:t>10</w:t>
      </w:r>
      <w:r>
        <w:rPr>
          <w:rFonts w:hint="eastAsia" w:ascii="仿宋" w:hAnsi="仿宋" w:eastAsia="仿宋"/>
          <w:sz w:val="32"/>
          <w:szCs w:val="32"/>
        </w:rPr>
        <w:t>月，根据征求意见情况对标准进行修改，形成送审稿。</w:t>
      </w:r>
    </w:p>
    <w:p>
      <w:pPr>
        <w:widowControl/>
        <w:shd w:val="clear" w:color="auto" w:fill="FFFFFF"/>
        <w:ind w:firstLine="640" w:firstLineChars="200"/>
        <w:jc w:val="left"/>
        <w:rPr>
          <w:rFonts w:ascii="仿宋" w:hAnsi="仿宋" w:eastAsia="仿宋"/>
          <w:sz w:val="32"/>
          <w:szCs w:val="32"/>
        </w:rPr>
      </w:pPr>
      <w:r>
        <w:rPr>
          <w:rFonts w:hint="eastAsia" w:ascii="仿宋" w:hAnsi="仿宋" w:eastAsia="仿宋"/>
          <w:sz w:val="32"/>
          <w:szCs w:val="32"/>
        </w:rPr>
        <w:t>2021年3月中旬，通过定向发送邮件、微信公众号、山东省科技成果转化服务平台等多种渠道面向社会广泛征求意见。其中通过邮件、微信等向6</w:t>
      </w:r>
      <w:r>
        <w:rPr>
          <w:rFonts w:ascii="仿宋" w:hAnsi="仿宋" w:eastAsia="仿宋"/>
          <w:sz w:val="32"/>
          <w:szCs w:val="32"/>
        </w:rPr>
        <w:t>2</w:t>
      </w:r>
      <w:r>
        <w:rPr>
          <w:rFonts w:hint="eastAsia" w:ascii="仿宋" w:hAnsi="仿宋" w:eastAsia="仿宋"/>
          <w:sz w:val="32"/>
          <w:szCs w:val="32"/>
        </w:rPr>
        <w:t>家单位发送征求意见材料，共有4家单位反馈意见11条。工作组根据意见反馈情况对标准进行了修改。</w:t>
      </w:r>
    </w:p>
    <w:p>
      <w:pPr>
        <w:widowControl/>
        <w:shd w:val="clear" w:color="auto" w:fill="FFFFFF"/>
        <w:ind w:firstLine="640" w:firstLineChars="200"/>
        <w:jc w:val="left"/>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02</w:t>
      </w:r>
      <w:r>
        <w:rPr>
          <w:rFonts w:hint="eastAsia" w:ascii="仿宋" w:hAnsi="仿宋" w:eastAsia="仿宋"/>
          <w:sz w:val="32"/>
          <w:szCs w:val="32"/>
        </w:rPr>
        <w:t>2年4月，向市场监管局提交送审申请，并按照省局反馈意见，再次向科技型中小企业服务相关的单位、专家征求意见和修改完善，形成送审稿。</w:t>
      </w:r>
    </w:p>
    <w:p>
      <w:pPr>
        <w:widowControl/>
        <w:numPr>
          <w:ilvl w:val="0"/>
          <w:numId w:val="4"/>
        </w:numPr>
        <w:shd w:val="clear" w:color="auto" w:fill="FFFFFF"/>
        <w:ind w:firstLine="640" w:firstLineChars="200"/>
        <w:jc w:val="left"/>
        <w:rPr>
          <w:rFonts w:ascii="仿宋" w:hAnsi="仿宋" w:eastAsia="仿宋"/>
          <w:sz w:val="32"/>
          <w:szCs w:val="32"/>
        </w:rPr>
      </w:pPr>
      <w:r>
        <w:rPr>
          <w:rFonts w:hint="eastAsia" w:ascii="仿宋" w:hAnsi="仿宋" w:eastAsia="仿宋"/>
          <w:sz w:val="32"/>
          <w:szCs w:val="32"/>
        </w:rPr>
        <w:t>第五阶段：2022年11月，召开标准审查会，对标准进行修改，形成报批稿。</w:t>
      </w:r>
    </w:p>
    <w:p>
      <w:pPr>
        <w:widowControl/>
        <w:shd w:val="clear" w:color="auto" w:fill="FFFFFF"/>
        <w:jc w:val="left"/>
        <w:rPr>
          <w:rFonts w:ascii="仿宋" w:hAnsi="仿宋" w:eastAsia="仿宋"/>
          <w:sz w:val="32"/>
          <w:szCs w:val="32"/>
        </w:rPr>
      </w:pPr>
      <w:r>
        <w:rPr>
          <w:rFonts w:hint="eastAsia" w:ascii="仿宋" w:hAnsi="仿宋" w:eastAsia="仿宋"/>
          <w:sz w:val="32"/>
          <w:szCs w:val="32"/>
        </w:rPr>
        <w:t xml:space="preserve">     2022年11月11日，在济南召开标准审查会，邀请9名专家对标准内容进行审查，并对标准技术内容、框架结构等进行修改，形成目前报批稿。</w:t>
      </w:r>
    </w:p>
    <w:p>
      <w:pPr>
        <w:ind w:firstLine="640" w:firstLineChars="200"/>
        <w:rPr>
          <w:rFonts w:ascii="楷体" w:hAnsi="楷体" w:eastAsia="楷体"/>
          <w:sz w:val="32"/>
          <w:szCs w:val="32"/>
        </w:rPr>
      </w:pPr>
      <w:r>
        <w:rPr>
          <w:rFonts w:hint="eastAsia" w:ascii="楷体" w:hAnsi="楷体" w:eastAsia="楷体"/>
          <w:sz w:val="32"/>
          <w:szCs w:val="32"/>
        </w:rPr>
        <w:t>（四）关于标准名称</w:t>
      </w:r>
    </w:p>
    <w:p>
      <w:pPr>
        <w:widowControl/>
        <w:shd w:val="clear" w:color="auto" w:fill="FFFFFF"/>
        <w:ind w:firstLine="640" w:firstLineChars="200"/>
        <w:jc w:val="left"/>
        <w:rPr>
          <w:rFonts w:ascii="仿宋" w:hAnsi="仿宋" w:eastAsia="仿宋"/>
          <w:sz w:val="32"/>
          <w:szCs w:val="32"/>
        </w:rPr>
      </w:pPr>
      <w:r>
        <w:rPr>
          <w:rFonts w:hint="eastAsia" w:ascii="仿宋" w:hAnsi="仿宋" w:eastAsia="仿宋"/>
          <w:sz w:val="32"/>
          <w:szCs w:val="32"/>
        </w:rPr>
        <w:t>本标准立项名称为《面向科技型中小企业服务规范》，在标准编制过程中，专家认为标准名称缺少主语，未能明确向科技型中小企业提供服务的主体，建议将名称改为《科技型中小企业科技创新服务规范》，突出服务的对象是科技型中小企业，服务的内容是科技创新服务，服务的提供者为各类机构，包括第三方科技类服务机构，以及高等院校、科研院所、社会团体、金融机构等。</w:t>
      </w:r>
    </w:p>
    <w:p>
      <w:pPr>
        <w:spacing w:line="360" w:lineRule="auto"/>
        <w:ind w:firstLine="640" w:firstLineChars="200"/>
        <w:rPr>
          <w:rFonts w:ascii="黑体" w:hAnsi="黑体" w:eastAsia="黑体"/>
          <w:sz w:val="32"/>
          <w:szCs w:val="32"/>
        </w:rPr>
      </w:pPr>
      <w:r>
        <w:rPr>
          <w:rFonts w:hint="eastAsia" w:ascii="黑体" w:hAnsi="黑体" w:eastAsia="黑体"/>
          <w:sz w:val="32"/>
          <w:szCs w:val="32"/>
        </w:rPr>
        <w:t>二、标准制定的目的和意义</w:t>
      </w:r>
    </w:p>
    <w:p>
      <w:pPr>
        <w:ind w:firstLine="640" w:firstLineChars="200"/>
        <w:rPr>
          <w:rFonts w:ascii="仿宋" w:hAnsi="仿宋" w:eastAsia="仿宋"/>
          <w:sz w:val="32"/>
          <w:szCs w:val="32"/>
        </w:rPr>
      </w:pPr>
      <w:r>
        <w:rPr>
          <w:rFonts w:hint="eastAsia" w:ascii="仿宋" w:hAnsi="仿宋" w:eastAsia="仿宋"/>
          <w:sz w:val="32"/>
          <w:szCs w:val="32"/>
        </w:rPr>
        <w:t>科技型中小企业是一支主要从事高新技术产品研发、生产和服务的企业群体，是我国技术创新的主要载体和经济增长的重要推动力量，在促进科技成果转化和产业化、以创新带动就业、建设创新型国家中发挥着重要作用。</w:t>
      </w:r>
    </w:p>
    <w:p>
      <w:pPr>
        <w:ind w:firstLine="640" w:firstLineChars="200"/>
        <w:rPr>
          <w:rFonts w:ascii="仿宋" w:hAnsi="仿宋" w:eastAsia="仿宋"/>
          <w:sz w:val="32"/>
          <w:szCs w:val="32"/>
        </w:rPr>
      </w:pPr>
      <w:r>
        <w:rPr>
          <w:rFonts w:hint="eastAsia" w:ascii="仿宋" w:hAnsi="仿宋" w:eastAsia="仿宋"/>
          <w:sz w:val="32"/>
          <w:szCs w:val="32"/>
        </w:rPr>
        <w:t>山东作为科技大省，政府对科技型中小企业的关注度一直很高。截至2020年底，在科技型中小企业服务平台注册的企业数量为409313家，其中山东企业数量为20461家。虽然数量庞大，但我省科技型中小企业创新发展仍面临不少问题。具体表现在融资渠道不畅、创新人才缺乏、支撑创新的公共服务不足、政策环境有待完善以及自身管理水平不高等问题。这些都是制约科技型中小企业发展的瓶颈，也是对科技服务机构的重大考验。此外，关于科技型中小企业的标准目前仍处于空白状态，需要制定相关的标准对科技型中小企业的服务进行规范。</w:t>
      </w:r>
    </w:p>
    <w:p>
      <w:pPr>
        <w:ind w:firstLine="640" w:firstLineChars="200"/>
        <w:rPr>
          <w:rFonts w:ascii="仿宋" w:hAnsi="仿宋" w:eastAsia="仿宋"/>
          <w:sz w:val="32"/>
          <w:szCs w:val="32"/>
        </w:rPr>
      </w:pPr>
      <w:r>
        <w:rPr>
          <w:rFonts w:hint="eastAsia" w:ascii="仿宋" w:hAnsi="仿宋" w:eastAsia="仿宋"/>
          <w:sz w:val="32"/>
          <w:szCs w:val="32"/>
        </w:rPr>
        <w:t>其实，在“科技服务进千企、进县区、进园区”工作启动以来，在科技服务链条上已初步达到了产品基本覆盖、机构专家整合、课程体系有储备、服务流程较规范的效果。这些在工作中形成的先进经验和最佳做法，有必要以标准的形式进行固化，总结我省在科技型中小企业服务中的实践经验，树立服务特色品牌，探索打造可推广、可复制的科技创新（服务）模式，也有助于推动将来形成的特色服务模式在更大范围内推广应用。</w:t>
      </w:r>
    </w:p>
    <w:p>
      <w:pPr>
        <w:spacing w:line="360" w:lineRule="auto"/>
        <w:ind w:firstLine="640" w:firstLineChars="200"/>
        <w:rPr>
          <w:rFonts w:ascii="黑体" w:hAnsi="黑体" w:eastAsia="黑体"/>
          <w:sz w:val="32"/>
          <w:szCs w:val="32"/>
        </w:rPr>
      </w:pPr>
      <w:r>
        <w:rPr>
          <w:rFonts w:hint="eastAsia" w:ascii="黑体" w:hAnsi="黑体" w:eastAsia="黑体"/>
          <w:sz w:val="32"/>
          <w:szCs w:val="32"/>
        </w:rPr>
        <w:t>三、编制原则、主要技术内容和确定依据</w:t>
      </w:r>
    </w:p>
    <w:p>
      <w:pPr>
        <w:ind w:firstLine="640" w:firstLineChars="200"/>
        <w:rPr>
          <w:rFonts w:ascii="楷体" w:hAnsi="楷体" w:eastAsia="楷体"/>
          <w:sz w:val="32"/>
          <w:szCs w:val="32"/>
        </w:rPr>
      </w:pPr>
      <w:r>
        <w:rPr>
          <w:rFonts w:hint="eastAsia" w:ascii="楷体" w:hAnsi="楷体" w:eastAsia="楷体"/>
          <w:sz w:val="32"/>
          <w:szCs w:val="32"/>
        </w:rPr>
        <w:t>（一）编制原则</w:t>
      </w:r>
    </w:p>
    <w:p>
      <w:pPr>
        <w:ind w:firstLine="640" w:firstLineChars="200"/>
        <w:rPr>
          <w:rFonts w:ascii="仿宋" w:hAnsi="仿宋" w:eastAsia="仿宋"/>
          <w:sz w:val="32"/>
          <w:szCs w:val="32"/>
        </w:rPr>
      </w:pPr>
      <w:r>
        <w:rPr>
          <w:rFonts w:hint="eastAsia" w:ascii="仿宋" w:hAnsi="仿宋" w:eastAsia="仿宋"/>
          <w:sz w:val="32"/>
          <w:szCs w:val="32"/>
        </w:rPr>
        <w:t>本标准制定以确保科学适用性和可行性，体现先进性为基本原则，并</w:t>
      </w:r>
      <w:r>
        <w:rPr>
          <w:rFonts w:ascii="仿宋" w:hAnsi="仿宋" w:eastAsia="仿宋"/>
          <w:sz w:val="32"/>
          <w:szCs w:val="32"/>
        </w:rPr>
        <w:t>做到</w:t>
      </w:r>
      <w:r>
        <w:rPr>
          <w:rFonts w:hint="eastAsia" w:ascii="仿宋" w:hAnsi="仿宋" w:eastAsia="仿宋"/>
          <w:sz w:val="32"/>
          <w:szCs w:val="32"/>
        </w:rPr>
        <w:t>与我省工作实际相结合，标准</w:t>
      </w:r>
      <w:r>
        <w:rPr>
          <w:rFonts w:ascii="仿宋" w:hAnsi="仿宋" w:eastAsia="仿宋"/>
          <w:sz w:val="32"/>
          <w:szCs w:val="32"/>
        </w:rPr>
        <w:t>在制定过程遵循以下原则：</w:t>
      </w:r>
    </w:p>
    <w:p>
      <w:pPr>
        <w:ind w:firstLine="640" w:firstLineChars="200"/>
        <w:rPr>
          <w:rFonts w:ascii="仿宋" w:hAnsi="仿宋" w:eastAsia="仿宋"/>
          <w:sz w:val="32"/>
          <w:szCs w:val="32"/>
        </w:rPr>
      </w:pPr>
      <w:r>
        <w:rPr>
          <w:rFonts w:hint="eastAsia" w:ascii="仿宋" w:hAnsi="仿宋" w:eastAsia="仿宋"/>
          <w:sz w:val="32"/>
          <w:szCs w:val="32"/>
        </w:rPr>
        <w:t>1.依法原则。与我国现行相关法律、法规和现行强制性标准相承接，与我省科技创新服务政策相一致。</w:t>
      </w:r>
    </w:p>
    <w:p>
      <w:pPr>
        <w:ind w:firstLine="640" w:firstLineChars="200"/>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w:t>
      </w:r>
      <w:r>
        <w:rPr>
          <w:rFonts w:hint="eastAsia" w:ascii="仿宋" w:hAnsi="仿宋" w:eastAsia="仿宋"/>
          <w:sz w:val="32"/>
          <w:szCs w:val="32"/>
        </w:rPr>
        <w:t>规范性原则。按照GB/T 1.1—2020《标准化工作导则  第1部分：标准化文件的结构和起草规则》的规定起草，标准结构规范，内容设计合理。</w:t>
      </w:r>
    </w:p>
    <w:p>
      <w:pPr>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.科学适用性原则。本标准结合我省科技型中小企业的种类与特点，在符合相关</w:t>
      </w:r>
      <w:r>
        <w:rPr>
          <w:rFonts w:ascii="仿宋" w:hAnsi="仿宋" w:eastAsia="仿宋"/>
          <w:sz w:val="32"/>
          <w:szCs w:val="32"/>
        </w:rPr>
        <w:t>国家</w:t>
      </w:r>
      <w:r>
        <w:rPr>
          <w:rFonts w:hint="eastAsia" w:ascii="仿宋" w:hAnsi="仿宋" w:eastAsia="仿宋"/>
          <w:sz w:val="32"/>
          <w:szCs w:val="32"/>
        </w:rPr>
        <w:t>、</w:t>
      </w:r>
      <w:r>
        <w:rPr>
          <w:rFonts w:ascii="仿宋" w:hAnsi="仿宋" w:eastAsia="仿宋"/>
          <w:sz w:val="32"/>
          <w:szCs w:val="32"/>
        </w:rPr>
        <w:t>行业标准的前提下</w:t>
      </w:r>
      <w:r>
        <w:rPr>
          <w:rFonts w:hint="eastAsia" w:ascii="仿宋" w:hAnsi="仿宋" w:eastAsia="仿宋"/>
          <w:sz w:val="32"/>
          <w:szCs w:val="32"/>
        </w:rPr>
        <w:t>，明确</w:t>
      </w:r>
      <w:r>
        <w:rPr>
          <w:rFonts w:ascii="仿宋" w:hAnsi="仿宋" w:eastAsia="仿宋"/>
          <w:sz w:val="32"/>
          <w:szCs w:val="32"/>
        </w:rPr>
        <w:t>了</w:t>
      </w:r>
      <w:r>
        <w:rPr>
          <w:rFonts w:hint="eastAsia" w:ascii="仿宋" w:hAnsi="仿宋" w:eastAsia="仿宋"/>
          <w:sz w:val="32"/>
          <w:szCs w:val="32"/>
        </w:rPr>
        <w:t>面向科技型中小企业服务的具体要求</w:t>
      </w:r>
      <w:r>
        <w:rPr>
          <w:rFonts w:ascii="仿宋" w:hAnsi="仿宋" w:eastAsia="仿宋"/>
          <w:sz w:val="32"/>
          <w:szCs w:val="32"/>
        </w:rPr>
        <w:t>。</w:t>
      </w:r>
    </w:p>
    <w:p>
      <w:pPr>
        <w:ind w:firstLine="640"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.协调、统一原则。本标准在编制过程中注重与已有的国家及地方政府有关部门法规及文件、国家标准、地方标准的协调一致。</w:t>
      </w:r>
    </w:p>
    <w:p>
      <w:pPr>
        <w:ind w:firstLine="640" w:firstLineChars="200"/>
        <w:rPr>
          <w:rFonts w:ascii="楷体" w:hAnsi="楷体" w:eastAsia="楷体"/>
          <w:sz w:val="32"/>
          <w:szCs w:val="32"/>
        </w:rPr>
      </w:pPr>
      <w:r>
        <w:rPr>
          <w:rFonts w:hint="eastAsia" w:ascii="楷体" w:hAnsi="楷体" w:eastAsia="楷体"/>
          <w:sz w:val="32"/>
          <w:szCs w:val="32"/>
        </w:rPr>
        <w:t>（二）主要技术内容</w:t>
      </w:r>
    </w:p>
    <w:p>
      <w:pPr>
        <w:spacing w:line="360" w:lineRule="auto"/>
        <w:ind w:firstLine="640" w:firstLineChars="200"/>
        <w:rPr>
          <w:rFonts w:ascii="仿宋" w:hAnsi="仿宋" w:eastAsia="仿宋" w:cs="宋体"/>
          <w:kern w:val="0"/>
          <w:sz w:val="32"/>
          <w:szCs w:val="32"/>
        </w:rPr>
      </w:pPr>
      <w:r>
        <w:rPr>
          <w:rFonts w:hint="eastAsia" w:ascii="仿宋" w:hAnsi="仿宋" w:eastAsia="仿宋" w:cs="宋体"/>
          <w:kern w:val="0"/>
          <w:sz w:val="32"/>
          <w:szCs w:val="32"/>
        </w:rPr>
        <w:t>本标准的内容根据《</w:t>
      </w:r>
      <w:r>
        <w:rPr>
          <w:rFonts w:hint="eastAsia" w:ascii="仿宋" w:hAnsi="仿宋" w:eastAsia="仿宋" w:cs="宋体"/>
          <w:bCs/>
          <w:kern w:val="0"/>
          <w:sz w:val="32"/>
          <w:szCs w:val="32"/>
        </w:rPr>
        <w:t>关于新时期支持科技型中小企业加快创新发展的若干政策措施</w:t>
      </w:r>
      <w:r>
        <w:rPr>
          <w:rFonts w:hint="eastAsia" w:ascii="仿宋" w:hAnsi="仿宋" w:eastAsia="仿宋" w:cs="宋体"/>
          <w:kern w:val="0"/>
          <w:sz w:val="32"/>
          <w:szCs w:val="32"/>
        </w:rPr>
        <w:t>》《生产性服务业标准化三年行动计划（2019-2021年）》等政策文件，并结合科技创新服务标准化工作现状调查问卷反馈情况，以及对科技型中小企业的调研等进行确定，共有六章，其中，第5章是具体的服务内容与要求。</w:t>
      </w:r>
    </w:p>
    <w:p>
      <w:pPr>
        <w:spacing w:line="360" w:lineRule="auto"/>
        <w:ind w:firstLine="640" w:firstLineChars="200"/>
        <w:rPr>
          <w:rFonts w:ascii="仿宋" w:hAnsi="仿宋" w:eastAsia="仿宋" w:cs="宋体"/>
          <w:kern w:val="0"/>
          <w:sz w:val="32"/>
          <w:szCs w:val="32"/>
        </w:rPr>
      </w:pPr>
      <w:r>
        <w:rPr>
          <w:rFonts w:hint="eastAsia" w:ascii="仿宋" w:hAnsi="仿宋" w:eastAsia="仿宋" w:cs="宋体"/>
          <w:kern w:val="0"/>
          <w:sz w:val="32"/>
          <w:szCs w:val="32"/>
        </w:rPr>
        <w:t>1.范围</w:t>
      </w:r>
    </w:p>
    <w:p>
      <w:pPr>
        <w:spacing w:line="360" w:lineRule="auto"/>
        <w:ind w:firstLine="640" w:firstLineChars="200"/>
        <w:rPr>
          <w:rFonts w:ascii="仿宋" w:hAnsi="仿宋" w:eastAsia="仿宋" w:cs="宋体"/>
          <w:kern w:val="0"/>
          <w:sz w:val="32"/>
          <w:szCs w:val="32"/>
        </w:rPr>
      </w:pPr>
      <w:r>
        <w:rPr>
          <w:rFonts w:hint="eastAsia" w:ascii="仿宋" w:hAnsi="仿宋" w:eastAsia="仿宋" w:cs="宋体"/>
          <w:kern w:val="0"/>
          <w:sz w:val="32"/>
          <w:szCs w:val="32"/>
        </w:rPr>
        <w:t>给出了本标准规定的主要技术内容以及适用范围。本标准分别针对服务机构、人员、专家、服务流程给出了一般要求，并分别从科技咨询、技术研发、技术转移、知识产权、科技金融、人才引进及培养等六个方面给出了科技创新服务的内容与要求。本标准适用于</w:t>
      </w:r>
      <w:r>
        <w:rPr>
          <w:rFonts w:hint="eastAsia" w:ascii="仿宋" w:hAnsi="仿宋" w:eastAsia="仿宋"/>
          <w:sz w:val="32"/>
          <w:szCs w:val="32"/>
        </w:rPr>
        <w:t>第三方科技类服务机构，以及高等院校、科研院所、社会团体、金融机构等</w:t>
      </w:r>
      <w:r>
        <w:rPr>
          <w:rFonts w:hint="eastAsia" w:ascii="仿宋" w:hAnsi="仿宋" w:eastAsia="仿宋" w:cs="宋体"/>
          <w:kern w:val="0"/>
          <w:sz w:val="32"/>
          <w:szCs w:val="32"/>
        </w:rPr>
        <w:t>面向科技型中小企业提供科技创新服务。</w:t>
      </w:r>
    </w:p>
    <w:p>
      <w:pPr>
        <w:spacing w:line="360" w:lineRule="auto"/>
        <w:ind w:firstLine="640" w:firstLineChars="200"/>
        <w:rPr>
          <w:rFonts w:ascii="仿宋" w:hAnsi="仿宋" w:eastAsia="仿宋" w:cs="宋体"/>
          <w:kern w:val="0"/>
          <w:sz w:val="32"/>
          <w:szCs w:val="32"/>
        </w:rPr>
      </w:pPr>
      <w:r>
        <w:rPr>
          <w:rFonts w:hint="eastAsia" w:ascii="仿宋" w:hAnsi="仿宋" w:eastAsia="仿宋" w:cs="宋体"/>
          <w:kern w:val="0"/>
          <w:sz w:val="32"/>
          <w:szCs w:val="32"/>
        </w:rPr>
        <w:t>2.规范性引用文件</w:t>
      </w:r>
    </w:p>
    <w:p>
      <w:pPr>
        <w:spacing w:line="360" w:lineRule="auto"/>
        <w:ind w:firstLine="640" w:firstLineChars="200"/>
        <w:rPr>
          <w:rFonts w:ascii="仿宋" w:hAnsi="仿宋" w:eastAsia="仿宋" w:cs="宋体"/>
          <w:kern w:val="0"/>
          <w:sz w:val="32"/>
          <w:szCs w:val="32"/>
        </w:rPr>
      </w:pPr>
      <w:r>
        <w:rPr>
          <w:rFonts w:hint="eastAsia" w:ascii="仿宋" w:hAnsi="仿宋" w:eastAsia="仿宋" w:cs="宋体"/>
          <w:kern w:val="0"/>
          <w:sz w:val="32"/>
          <w:szCs w:val="32"/>
        </w:rPr>
        <w:t>列出了本标准规范性引用的我省地方标准《知识产权人才培训及能力素质要求》（DB37/T 4293）。</w:t>
      </w:r>
    </w:p>
    <w:p>
      <w:pPr>
        <w:spacing w:line="360" w:lineRule="auto"/>
        <w:ind w:firstLine="640" w:firstLineChars="200"/>
        <w:rPr>
          <w:rFonts w:ascii="仿宋" w:hAnsi="仿宋" w:eastAsia="仿宋" w:cs="宋体"/>
          <w:kern w:val="0"/>
          <w:sz w:val="32"/>
          <w:szCs w:val="32"/>
        </w:rPr>
      </w:pPr>
      <w:r>
        <w:rPr>
          <w:rFonts w:hint="eastAsia" w:ascii="仿宋" w:hAnsi="仿宋" w:eastAsia="仿宋" w:cs="宋体"/>
          <w:kern w:val="0"/>
          <w:sz w:val="32"/>
          <w:szCs w:val="32"/>
        </w:rPr>
        <w:t>3.术语和定义</w:t>
      </w:r>
    </w:p>
    <w:p>
      <w:pPr>
        <w:spacing w:line="360" w:lineRule="auto"/>
        <w:ind w:firstLine="640" w:firstLineChars="200"/>
        <w:rPr>
          <w:rFonts w:ascii="仿宋" w:hAnsi="仿宋" w:eastAsia="仿宋" w:cs="宋体"/>
          <w:kern w:val="0"/>
          <w:sz w:val="32"/>
          <w:szCs w:val="32"/>
        </w:rPr>
      </w:pPr>
      <w:r>
        <w:rPr>
          <w:rFonts w:hint="eastAsia" w:ascii="仿宋" w:hAnsi="仿宋" w:eastAsia="仿宋" w:cs="宋体"/>
          <w:kern w:val="0"/>
          <w:sz w:val="32"/>
          <w:szCs w:val="32"/>
        </w:rPr>
        <w:t>对本标准中使用的中小企业、科技型中小企业两个术语进行了定义。</w:t>
      </w:r>
    </w:p>
    <w:p>
      <w:pPr>
        <w:spacing w:line="360" w:lineRule="auto"/>
        <w:ind w:firstLine="640" w:firstLineChars="200"/>
        <w:rPr>
          <w:rFonts w:ascii="仿宋" w:hAnsi="仿宋" w:eastAsia="仿宋" w:cs="宋体"/>
          <w:kern w:val="0"/>
          <w:sz w:val="32"/>
          <w:szCs w:val="32"/>
        </w:rPr>
      </w:pPr>
      <w:r>
        <w:rPr>
          <w:rFonts w:hint="eastAsia" w:ascii="仿宋" w:hAnsi="仿宋" w:eastAsia="仿宋" w:cs="宋体"/>
          <w:kern w:val="0"/>
          <w:sz w:val="32"/>
          <w:szCs w:val="32"/>
        </w:rPr>
        <w:t>（1）中小企业</w:t>
      </w:r>
    </w:p>
    <w:p>
      <w:pPr>
        <w:spacing w:line="360" w:lineRule="auto"/>
        <w:ind w:firstLine="640" w:firstLineChars="200"/>
        <w:rPr>
          <w:rFonts w:ascii="仿宋" w:hAnsi="仿宋" w:eastAsia="仿宋" w:cs="宋体"/>
          <w:kern w:val="0"/>
          <w:sz w:val="32"/>
          <w:szCs w:val="32"/>
        </w:rPr>
      </w:pPr>
      <w:r>
        <w:rPr>
          <w:rFonts w:hint="eastAsia" w:ascii="仿宋" w:hAnsi="仿宋" w:eastAsia="仿宋" w:cs="宋体"/>
          <w:kern w:val="0"/>
          <w:sz w:val="32"/>
          <w:szCs w:val="32"/>
        </w:rPr>
        <w:t>《</w:t>
      </w:r>
      <w:r>
        <w:rPr>
          <w:rFonts w:ascii="仿宋" w:hAnsi="仿宋" w:eastAsia="仿宋" w:cs="宋体"/>
          <w:kern w:val="0"/>
          <w:sz w:val="32"/>
          <w:szCs w:val="32"/>
        </w:rPr>
        <w:t>中华人民共和国中小企业促进法</w:t>
      </w:r>
      <w:r>
        <w:rPr>
          <w:rFonts w:hint="eastAsia" w:ascii="仿宋" w:hAnsi="仿宋" w:eastAsia="仿宋" w:cs="宋体"/>
          <w:kern w:val="0"/>
          <w:sz w:val="32"/>
          <w:szCs w:val="32"/>
        </w:rPr>
        <w:t>》对中小企业的定义是“</w:t>
      </w:r>
      <w:r>
        <w:rPr>
          <w:rFonts w:ascii="仿宋" w:hAnsi="仿宋" w:eastAsia="仿宋" w:cs="宋体"/>
          <w:kern w:val="0"/>
          <w:sz w:val="32"/>
          <w:szCs w:val="32"/>
        </w:rPr>
        <w:t>在中华人民共和国境内依法设立的，人员规模、经营规模相对较小的企业，包括中型企业、小型企业和微型企业。</w:t>
      </w:r>
      <w:r>
        <w:rPr>
          <w:rFonts w:hint="eastAsia" w:ascii="仿宋" w:hAnsi="仿宋" w:eastAsia="仿宋" w:cs="宋体"/>
          <w:kern w:val="0"/>
          <w:sz w:val="32"/>
          <w:szCs w:val="32"/>
        </w:rPr>
        <w:t>”工信部、国家统计局和国家发改委于2011年联合印发的《关于印发中小企业划型标准规定的通知》（工信部联企业〔2011〕300号）对中小企业根据从业人员、营业收入、资产总额等指标并结合行业特点，明确了中小型企业的划型标准。本标准中对小企业进行的定义与《中华人民共和国中小企业促进法(修订版)》的要求保持一致。</w:t>
      </w:r>
    </w:p>
    <w:p>
      <w:pPr>
        <w:spacing w:line="360" w:lineRule="auto"/>
        <w:ind w:firstLine="640" w:firstLineChars="200"/>
        <w:rPr>
          <w:rFonts w:ascii="仿宋" w:hAnsi="仿宋" w:eastAsia="仿宋" w:cs="宋体"/>
          <w:kern w:val="0"/>
          <w:sz w:val="32"/>
          <w:szCs w:val="32"/>
        </w:rPr>
      </w:pPr>
      <w:r>
        <w:rPr>
          <w:rFonts w:hint="eastAsia" w:ascii="仿宋" w:hAnsi="仿宋" w:eastAsia="仿宋" w:cs="宋体"/>
          <w:kern w:val="0"/>
          <w:sz w:val="32"/>
          <w:szCs w:val="32"/>
        </w:rPr>
        <w:t>（2）科技型中小企业</w:t>
      </w:r>
    </w:p>
    <w:p>
      <w:pPr>
        <w:spacing w:line="360" w:lineRule="auto"/>
        <w:ind w:firstLine="640" w:firstLineChars="200"/>
        <w:rPr>
          <w:rFonts w:ascii="仿宋" w:hAnsi="仿宋" w:eastAsia="仿宋" w:cs="宋体"/>
          <w:kern w:val="0"/>
          <w:sz w:val="32"/>
          <w:szCs w:val="32"/>
        </w:rPr>
      </w:pPr>
      <w:r>
        <w:rPr>
          <w:rFonts w:hint="eastAsia" w:ascii="仿宋" w:hAnsi="仿宋" w:eastAsia="仿宋" w:cs="宋体"/>
          <w:kern w:val="0"/>
          <w:sz w:val="32"/>
          <w:szCs w:val="32"/>
        </w:rPr>
        <w:t>针对科技型中小企业，科技部、财政部和国家税务总局联合印发的《关于印发&lt;科技型中小企业评价办法&gt;的通知》对科技型中小企业进行了界定。除了已经被认定为的科技型中小企业之外，尚未被认定的企业同样需要相关服务。为了保证标准的适用性及规范性，本标准将尚未被认定的科技型企业也纳入到服务对象之中，因此本标准中对科技型中小企业的定义在《科技型中小企业评价办法》规定的基础上进行了微调，以便更符合标准的定位。</w:t>
      </w:r>
    </w:p>
    <w:p>
      <w:pPr>
        <w:spacing w:line="360" w:lineRule="auto"/>
        <w:ind w:firstLine="640" w:firstLineChars="200"/>
        <w:rPr>
          <w:rFonts w:ascii="仿宋" w:hAnsi="仿宋" w:eastAsia="仿宋" w:cs="宋体"/>
          <w:kern w:val="0"/>
          <w:sz w:val="32"/>
          <w:szCs w:val="32"/>
        </w:rPr>
      </w:pPr>
      <w:r>
        <w:rPr>
          <w:rFonts w:hint="eastAsia" w:ascii="仿宋" w:hAnsi="仿宋" w:eastAsia="仿宋" w:cs="宋体"/>
          <w:kern w:val="0"/>
          <w:sz w:val="32"/>
          <w:szCs w:val="32"/>
        </w:rPr>
        <w:t>4.一般要求</w:t>
      </w:r>
    </w:p>
    <w:p>
      <w:pPr>
        <w:spacing w:line="360" w:lineRule="auto"/>
        <w:ind w:firstLine="640" w:firstLineChars="200"/>
        <w:rPr>
          <w:rFonts w:ascii="仿宋" w:hAnsi="仿宋" w:eastAsia="仿宋" w:cs="宋体"/>
          <w:kern w:val="0"/>
          <w:sz w:val="32"/>
          <w:szCs w:val="32"/>
        </w:rPr>
      </w:pPr>
      <w:r>
        <w:rPr>
          <w:rFonts w:hint="eastAsia" w:ascii="仿宋" w:hAnsi="仿宋" w:eastAsia="仿宋" w:cs="宋体"/>
          <w:kern w:val="0"/>
          <w:sz w:val="32"/>
          <w:szCs w:val="32"/>
        </w:rPr>
        <w:t>作为服务提供方，若能提供本标准所规定的科技创新服务，需要对机构及其建设、人员配备及其能力等作出要求。因此，本标准通过对目前我省科技创新服务机构现状进行摸底和分析，并结合科技型中小企业对服务机构的要求，从服务机构的基本条件、内部应建立的管理制度、聘请的服务人员和专家具备的知识和技能、服务场所硬件环境、服务全过程档案管理等提出了要求，同时，要求服务机构内部建立服务质量与监督制度，外部建立第三方评价机制，以对服务机构提供服务进行监督和考核，提高服务质量和精准度。</w:t>
      </w:r>
    </w:p>
    <w:p>
      <w:pPr>
        <w:spacing w:line="360" w:lineRule="auto"/>
        <w:ind w:firstLine="640" w:firstLineChars="200"/>
        <w:rPr>
          <w:rFonts w:ascii="仿宋" w:hAnsi="仿宋" w:eastAsia="仿宋" w:cs="宋体"/>
          <w:kern w:val="0"/>
          <w:sz w:val="32"/>
          <w:szCs w:val="32"/>
        </w:rPr>
      </w:pPr>
      <w:r>
        <w:rPr>
          <w:rFonts w:hint="eastAsia" w:ascii="仿宋" w:hAnsi="仿宋" w:eastAsia="仿宋" w:cs="宋体"/>
          <w:kern w:val="0"/>
          <w:sz w:val="32"/>
          <w:szCs w:val="32"/>
        </w:rPr>
        <w:t>（1）服务机构。服务机构是科技创新服务提供的主体，为了确保能够提供满足需求的科技创新服务，参考了《技术转移服务规范》（GB/T 34670-2017）国家标准对技术转移服务机构的需求，综合科技咨询、知识产权、科技金融等其他科技创新服务内容和要求，结合我省科技创新服务机构现状对服务机构作出了要求。服务机构应能按照本标准服务原则提供服务，提供标准中规定的全部或大部分的服务内容。同时，应配备相应的服务人员和专家队伍。此外，若要提供精准、综合的服务，并确保服务全过程的可追溯，还需要具备一定的软硬件条件，包括制度建设、数据库和信息化服务平台、档案留存等，并在本章的其他条款中作出了具体要求。</w:t>
      </w:r>
    </w:p>
    <w:p>
      <w:pPr>
        <w:spacing w:line="360" w:lineRule="auto"/>
        <w:ind w:firstLine="640" w:firstLineChars="200"/>
        <w:rPr>
          <w:rFonts w:ascii="仿宋" w:hAnsi="仿宋" w:eastAsia="仿宋" w:cs="宋体"/>
          <w:kern w:val="0"/>
          <w:sz w:val="32"/>
          <w:szCs w:val="32"/>
        </w:rPr>
      </w:pPr>
      <w:r>
        <w:rPr>
          <w:rFonts w:hint="eastAsia" w:ascii="仿宋" w:hAnsi="仿宋" w:eastAsia="仿宋" w:cs="宋体"/>
          <w:kern w:val="0"/>
          <w:sz w:val="32"/>
          <w:szCs w:val="32"/>
        </w:rPr>
        <w:t>（2）服务人员。服务人员是科技创新服务具体实施的主体，在服务机构的管理与授权下开展工作，并提供满足本标准要求和科技型中小企业需求的科技创新服务。因此，应具备与其服务内容相适应的从业技能和知识。本标准综合考虑了当前科技创新服务人员水平及能力现状，借鉴了现行标准和文件的相关要求，以及各类服务对人员的资格和能力要求，从基本素质、能力、知识和技能知识等维度作出要求，其中：</w:t>
      </w:r>
    </w:p>
    <w:p>
      <w:pPr>
        <w:spacing w:line="360" w:lineRule="auto"/>
        <w:ind w:firstLine="640" w:firstLineChars="200"/>
        <w:rPr>
          <w:rFonts w:ascii="仿宋" w:hAnsi="仿宋" w:eastAsia="仿宋" w:cs="宋体"/>
          <w:kern w:val="0"/>
          <w:sz w:val="32"/>
          <w:szCs w:val="32"/>
        </w:rPr>
      </w:pPr>
      <w:r>
        <w:rPr>
          <w:rFonts w:hint="eastAsia" w:ascii="仿宋" w:hAnsi="仿宋" w:eastAsia="仿宋" w:cs="宋体"/>
          <w:kern w:val="0"/>
          <w:sz w:val="32"/>
          <w:szCs w:val="32"/>
        </w:rPr>
        <w:t>——掌握必要的法律、法规和政策，以及遵纪守法，遵守职业道德和操守等属于科技创新服务人员必备的基本素质。</w:t>
      </w:r>
    </w:p>
    <w:p>
      <w:pPr>
        <w:spacing w:line="360" w:lineRule="auto"/>
        <w:ind w:firstLine="640" w:firstLineChars="200"/>
        <w:rPr>
          <w:rFonts w:ascii="仿宋" w:hAnsi="仿宋" w:eastAsia="仿宋" w:cs="宋体"/>
          <w:kern w:val="0"/>
          <w:sz w:val="32"/>
          <w:szCs w:val="32"/>
        </w:rPr>
      </w:pPr>
      <w:r>
        <w:rPr>
          <w:rFonts w:hint="eastAsia" w:ascii="仿宋" w:hAnsi="仿宋" w:eastAsia="仿宋" w:cs="宋体"/>
          <w:kern w:val="0"/>
          <w:sz w:val="32"/>
          <w:szCs w:val="32"/>
        </w:rPr>
        <w:t>——能力主要包括职业判断能力和项目管理能力，并对科技创新服务人员需要具备的能力进行了细化。</w:t>
      </w:r>
    </w:p>
    <w:p>
      <w:pPr>
        <w:spacing w:line="360" w:lineRule="auto"/>
        <w:ind w:firstLine="640" w:firstLineChars="200"/>
        <w:rPr>
          <w:rFonts w:ascii="仿宋" w:hAnsi="仿宋" w:eastAsia="仿宋" w:cs="宋体"/>
          <w:kern w:val="0"/>
          <w:sz w:val="32"/>
          <w:szCs w:val="32"/>
        </w:rPr>
      </w:pPr>
      <w:r>
        <w:rPr>
          <w:rFonts w:hint="eastAsia" w:ascii="仿宋" w:hAnsi="仿宋" w:eastAsia="仿宋" w:cs="宋体"/>
          <w:kern w:val="0"/>
          <w:sz w:val="32"/>
          <w:szCs w:val="32"/>
        </w:rPr>
        <w:t>——掌握必要的知识是科技创新服务人员提供服务的基础，因此，要求科技创新服务人员应具备本专业领域相关的专业技术知识，并对专业技术知识进行了细化。</w:t>
      </w:r>
    </w:p>
    <w:p>
      <w:pPr>
        <w:spacing w:line="360" w:lineRule="auto"/>
        <w:ind w:firstLine="640" w:firstLineChars="200"/>
        <w:rPr>
          <w:rFonts w:ascii="仿宋" w:hAnsi="仿宋" w:eastAsia="仿宋" w:cs="宋体"/>
          <w:kern w:val="0"/>
          <w:sz w:val="32"/>
          <w:szCs w:val="32"/>
        </w:rPr>
      </w:pPr>
      <w:r>
        <w:rPr>
          <w:rFonts w:hint="eastAsia" w:ascii="仿宋" w:hAnsi="仿宋" w:eastAsia="仿宋" w:cs="宋体"/>
          <w:kern w:val="0"/>
          <w:sz w:val="32"/>
          <w:szCs w:val="32"/>
        </w:rPr>
        <w:t>——分别针对各类服务人员提供科技创新服务所需的技能作出了要求。</w:t>
      </w:r>
    </w:p>
    <w:p>
      <w:pPr>
        <w:spacing w:line="360" w:lineRule="auto"/>
        <w:ind w:firstLine="640" w:firstLineChars="200"/>
        <w:rPr>
          <w:rFonts w:ascii="仿宋" w:hAnsi="仿宋" w:eastAsia="仿宋" w:cs="宋体"/>
          <w:kern w:val="0"/>
          <w:sz w:val="32"/>
          <w:szCs w:val="32"/>
        </w:rPr>
      </w:pPr>
      <w:r>
        <w:rPr>
          <w:rFonts w:hint="eastAsia" w:ascii="仿宋" w:hAnsi="仿宋" w:eastAsia="仿宋" w:cs="宋体"/>
          <w:kern w:val="0"/>
          <w:sz w:val="32"/>
          <w:szCs w:val="32"/>
        </w:rPr>
        <w:t>（3）专家要求。由于科技创新服务涉及的领域众多，且专业性较强，因此，除了内部服务人员之外，服务机构为了能够提供满足需求的科技创新服务，需要聘请或使用相关行业的专家，共同为科技型中小企业提供科技政策解读、科技成果评价等专业领域的服务。本标准综合考虑了服务需求，梳理了专家的通用要求，以协助服务机构提供科技型中小企业所需的科技创新服务。</w:t>
      </w:r>
    </w:p>
    <w:p>
      <w:pPr>
        <w:spacing w:line="360" w:lineRule="auto"/>
        <w:ind w:firstLine="640" w:firstLineChars="200"/>
        <w:rPr>
          <w:rFonts w:ascii="仿宋" w:hAnsi="仿宋" w:eastAsia="仿宋" w:cs="宋体"/>
          <w:kern w:val="0"/>
          <w:sz w:val="32"/>
          <w:szCs w:val="32"/>
        </w:rPr>
      </w:pPr>
      <w:r>
        <w:rPr>
          <w:rFonts w:hint="eastAsia" w:ascii="仿宋" w:hAnsi="仿宋" w:eastAsia="仿宋" w:cs="宋体"/>
          <w:kern w:val="0"/>
          <w:sz w:val="32"/>
          <w:szCs w:val="32"/>
        </w:rPr>
        <w:t>5</w:t>
      </w:r>
      <w:r>
        <w:rPr>
          <w:rFonts w:ascii="仿宋" w:hAnsi="仿宋" w:eastAsia="仿宋" w:cs="宋体"/>
          <w:kern w:val="0"/>
          <w:sz w:val="32"/>
          <w:szCs w:val="32"/>
        </w:rPr>
        <w:t>.</w:t>
      </w:r>
      <w:r>
        <w:rPr>
          <w:rFonts w:hint="eastAsia" w:ascii="仿宋" w:hAnsi="仿宋" w:eastAsia="仿宋" w:cs="宋体"/>
          <w:kern w:val="0"/>
          <w:sz w:val="32"/>
          <w:szCs w:val="32"/>
        </w:rPr>
        <w:t>服务内容与要求</w:t>
      </w:r>
    </w:p>
    <w:p>
      <w:pPr>
        <w:spacing w:line="360" w:lineRule="auto"/>
        <w:ind w:firstLine="640" w:firstLineChars="200"/>
        <w:rPr>
          <w:rFonts w:ascii="仿宋" w:hAnsi="仿宋" w:eastAsia="仿宋" w:cs="宋体"/>
          <w:kern w:val="0"/>
          <w:sz w:val="32"/>
          <w:szCs w:val="32"/>
        </w:rPr>
      </w:pPr>
      <w:r>
        <w:rPr>
          <w:rFonts w:hint="eastAsia" w:ascii="仿宋" w:hAnsi="仿宋" w:eastAsia="仿宋" w:cs="宋体"/>
          <w:kern w:val="0"/>
          <w:sz w:val="32"/>
          <w:szCs w:val="32"/>
        </w:rPr>
        <w:t>根据《生产性服务业标准化三年行动计划（2019-2021年）》等政策文件，结合标准起草过程中对科技型中小企业调研情况，共梳理了科技咨询服务、技术研发服务、技术转移服务、知识产权服务、科技金融服务、人才引进及培养服务等内容及要求。</w:t>
      </w:r>
    </w:p>
    <w:p>
      <w:pPr>
        <w:spacing w:line="360" w:lineRule="auto"/>
        <w:ind w:firstLine="640" w:firstLineChars="200"/>
        <w:rPr>
          <w:rFonts w:ascii="仿宋" w:hAnsi="仿宋" w:eastAsia="仿宋" w:cs="宋体"/>
          <w:kern w:val="0"/>
          <w:sz w:val="32"/>
          <w:szCs w:val="32"/>
        </w:rPr>
      </w:pPr>
      <w:r>
        <w:rPr>
          <w:rFonts w:hint="eastAsia" w:ascii="仿宋" w:hAnsi="仿宋" w:eastAsia="仿宋" w:cs="宋体"/>
          <w:kern w:val="0"/>
          <w:sz w:val="32"/>
          <w:szCs w:val="32"/>
        </w:rPr>
        <w:t>（</w:t>
      </w:r>
      <w:r>
        <w:rPr>
          <w:rFonts w:ascii="仿宋" w:hAnsi="仿宋" w:eastAsia="仿宋" w:cs="宋体"/>
          <w:kern w:val="0"/>
          <w:sz w:val="32"/>
          <w:szCs w:val="32"/>
        </w:rPr>
        <w:t>1</w:t>
      </w:r>
      <w:r>
        <w:rPr>
          <w:rFonts w:hint="eastAsia" w:ascii="仿宋" w:hAnsi="仿宋" w:eastAsia="仿宋" w:cs="宋体"/>
          <w:kern w:val="0"/>
          <w:sz w:val="32"/>
          <w:szCs w:val="32"/>
        </w:rPr>
        <w:t>）科技咨询服务</w:t>
      </w:r>
    </w:p>
    <w:p>
      <w:pPr>
        <w:spacing w:line="360" w:lineRule="auto"/>
        <w:ind w:firstLine="640" w:firstLineChars="200"/>
        <w:rPr>
          <w:rFonts w:ascii="仿宋" w:hAnsi="仿宋" w:eastAsia="仿宋" w:cs="宋体"/>
          <w:kern w:val="0"/>
          <w:sz w:val="32"/>
          <w:szCs w:val="32"/>
        </w:rPr>
      </w:pPr>
      <w:r>
        <w:rPr>
          <w:rFonts w:hint="eastAsia" w:ascii="仿宋" w:hAnsi="仿宋" w:eastAsia="仿宋" w:cs="宋体"/>
          <w:kern w:val="0"/>
          <w:sz w:val="32"/>
          <w:szCs w:val="32"/>
        </w:rPr>
        <w:t>科技咨询业是现代服务业的重要组成部分，具有人才智力密集、科技含量高、产业附加值大、辐射带动作用强等特点，在助推科技创新和科技成果转化、优化产业结构、实现科技创新引领产业升级等创新驱动发展中发挥着重要作用。国务院印发的《关于加快科技服务业发展的若干意见》，首次明确了科技咨询服务的重点任务：一是鼓励发展科技战略研究、科技评估、科技招投标、管理咨询等科技咨询服务业，积极培育管理服务外包、项目管理外包等新业态；二是支持科技咨询机构、知识服务机构、生产力促进中心等积极应用大数据、云计算、移动互联网等现代信息技术，创新服务模式，开展网络化、集成化的科技咨询和知识服务；三是加强科技信息资源的市场化开发利用，支持发展竞争情报分析、科技查新和文献检索等科技信息服务；四是发展工程技术咨询服务，为企业提供集成化的工程技术解决方案。</w:t>
      </w:r>
    </w:p>
    <w:p>
      <w:pPr>
        <w:spacing w:line="360" w:lineRule="auto"/>
        <w:ind w:firstLine="640" w:firstLineChars="200"/>
        <w:rPr>
          <w:rFonts w:ascii="仿宋" w:hAnsi="仿宋" w:eastAsia="仿宋" w:cs="宋体"/>
          <w:kern w:val="0"/>
          <w:sz w:val="32"/>
          <w:szCs w:val="32"/>
        </w:rPr>
      </w:pPr>
      <w:r>
        <w:rPr>
          <w:rFonts w:hint="eastAsia" w:ascii="仿宋" w:hAnsi="仿宋" w:eastAsia="仿宋" w:cs="宋体"/>
          <w:kern w:val="0"/>
          <w:sz w:val="32"/>
          <w:szCs w:val="32"/>
        </w:rPr>
        <w:t>我省地方标准《科技咨询业服务质量规范》（DB37/T 1023）针对科技咨询服务内容作出了要求，但该标准已于今年3月份废止，不能充分适应当前科技咨询服务的要求，同时，其面向服务的对象包括了所有的企业，未能充分体现科技型中小企业对科技咨询服务的需求。通过调研了解到，目前科技型中小企业其规模较小，从业人员数量不多，且多数企业成立时间较短，大多处在企业全生命周期的发展期和成长期等靠前阶段。这类企业的共同特点是政策需求欲高但信息获取渠道相对闭塞，各类情报、文献等数据库建设薄弱，基本依赖第三方服务，加之各级政府对这类企业均有优惠扶持或奖励政策，企业亟需通过发展获得相应的资质，如知识产权示范企业、专精特新企业、瞪羚企业、单项冠军企业、首台套、首批次、首版次、中试熟化基地等，因此，本标准结合目前政策要求和调研过程中相关单位的反馈情况，给出了面向科技型中小企业提供的科技咨询服务的内容，涵盖信息宣传推送、解读培训、整体规划服务，企业申报咨询服务，科技型中小企业评价和企业动态监测分析服务，情报搜集与分析服务，论文收录引用证明和科技文献检索、查新、分析服务，总结典型案例、开展经验交流与创新方法推广服务等，以满足这类企业对科技咨询服务的需求。</w:t>
      </w:r>
    </w:p>
    <w:p>
      <w:pPr>
        <w:spacing w:line="360" w:lineRule="auto"/>
        <w:ind w:firstLine="640" w:firstLineChars="200"/>
        <w:rPr>
          <w:rFonts w:ascii="仿宋" w:hAnsi="仿宋" w:eastAsia="仿宋" w:cs="宋体"/>
          <w:kern w:val="0"/>
          <w:sz w:val="32"/>
          <w:szCs w:val="32"/>
        </w:rPr>
      </w:pPr>
      <w:r>
        <w:rPr>
          <w:rFonts w:hint="eastAsia" w:ascii="仿宋" w:hAnsi="仿宋" w:eastAsia="仿宋" w:cs="宋体"/>
          <w:kern w:val="0"/>
          <w:sz w:val="32"/>
          <w:szCs w:val="32"/>
        </w:rPr>
        <w:t>（2）技术研发服务</w:t>
      </w:r>
    </w:p>
    <w:p>
      <w:pPr>
        <w:spacing w:line="360" w:lineRule="auto"/>
        <w:ind w:firstLine="640" w:firstLineChars="200"/>
        <w:rPr>
          <w:rFonts w:ascii="仿宋" w:hAnsi="仿宋" w:eastAsia="仿宋" w:cs="宋体"/>
          <w:kern w:val="0"/>
          <w:sz w:val="32"/>
          <w:szCs w:val="32"/>
        </w:rPr>
      </w:pPr>
      <w:r>
        <w:rPr>
          <w:rFonts w:hint="eastAsia" w:ascii="仿宋" w:hAnsi="仿宋" w:eastAsia="仿宋" w:cs="宋体"/>
          <w:kern w:val="0"/>
          <w:sz w:val="32"/>
          <w:szCs w:val="32"/>
        </w:rPr>
        <w:t>技术研发是技术创新的核心组成部分，而技术创新则是企业生存和发展的基本前提。在当前新的国际国内环境下，加大技术创新力度，更是企业增强发展能力、应对市场竞争的必然选择。就工业企业来说，产品的竞争力，包括性能、质量、成本、价格、服务、交货期等，核心是技术创新。因为任何产品都有生命周期，而且由于科学技术突飞猛进，产品的生命周期越来越短，不断地更新换代、适应需求变化以及创造新的市场，都有赖于技术创新。</w:t>
      </w:r>
    </w:p>
    <w:p>
      <w:pPr>
        <w:spacing w:line="360" w:lineRule="auto"/>
        <w:ind w:firstLine="640" w:firstLineChars="200"/>
        <w:rPr>
          <w:rFonts w:ascii="仿宋" w:hAnsi="仿宋" w:eastAsia="仿宋" w:cs="宋体"/>
          <w:kern w:val="0"/>
          <w:sz w:val="32"/>
          <w:szCs w:val="32"/>
        </w:rPr>
      </w:pPr>
      <w:r>
        <w:rPr>
          <w:rFonts w:hint="eastAsia" w:ascii="仿宋" w:hAnsi="仿宋" w:eastAsia="仿宋" w:cs="宋体"/>
          <w:kern w:val="0"/>
          <w:sz w:val="32"/>
          <w:szCs w:val="32"/>
        </w:rPr>
        <w:t>通过调研了解到，目前科技型中小企业其对技术研发服务需求较大，但受其自身创新能力、科技人员数量和水平等限制，技术开发成了其限制发展的瓶颈。科技型中小企业对技术研发服务的需求主要包括最新技术发展动向资讯，新技术、新产品、新工艺、新材料、新品种的研究开发中的小试（样品试制）、中试（小批量试制）服务，技术改造和孵化服务，科研立项、科技成果评价、申报奖励、新产品和新技术检验检测验证、新药注册等科技查新及调研评估服务，更有甚者还需要技术路线图绘制、技术标准制定等基础性研发服务。科技型中小企业还面临技术、人才、平台、资金等资源要素短缺的问题，并在短时间内难以补充，因此，需要服务机构借助其渠道，整合上述资源，通过共享的方式提供给科技型中小企业使用，即发挥了资源重复利用的价值，也有效解决了科技型中小企业资源短缺的问题。同时，整合相关的高等院校、科研院所等机构，通过技术联盟、产学研合作等方式，提供技术研发支撑。例如，在调研时，有的企业在其内部与国内知名高校的教授联合共建实验室，既能使高校研究贴合企业和市场需求，又能借助高校的研发创新能力，快速地将创新成果进行转化。</w:t>
      </w:r>
    </w:p>
    <w:p>
      <w:pPr>
        <w:spacing w:line="360" w:lineRule="auto"/>
        <w:ind w:firstLine="640" w:firstLineChars="200"/>
        <w:rPr>
          <w:rFonts w:ascii="仿宋" w:hAnsi="仿宋" w:eastAsia="仿宋" w:cs="宋体"/>
          <w:kern w:val="0"/>
          <w:sz w:val="32"/>
          <w:szCs w:val="32"/>
        </w:rPr>
      </w:pPr>
      <w:r>
        <w:rPr>
          <w:rFonts w:hint="eastAsia" w:ascii="仿宋" w:hAnsi="仿宋" w:eastAsia="仿宋" w:cs="宋体"/>
          <w:kern w:val="0"/>
          <w:sz w:val="32"/>
          <w:szCs w:val="32"/>
        </w:rPr>
        <w:t>因此，本标准给出了面向科技型中小企业提供的技术研发服务的内容，包括新技术、新产品、新工艺、新材料、新品种的研究开发及水平动向跟踪、技术改造、技术转型升级、技术孵化等服务，技术和设备的消化、吸收和引进服务，科技查新及调研评估服务，科研仪器设备等共享服务，产学研合作研究与协同创新服务。同时，作为科技创新主管部门，在法律法规允许和政策文件的要求下，针对科技型中小企业申报科技计划项目给予支持，并为科技型中小企业从初创期、到成长期、成熟期等全过程给予孵化培育、成长扶持全链条的服务。</w:t>
      </w:r>
    </w:p>
    <w:p>
      <w:pPr>
        <w:spacing w:line="360" w:lineRule="auto"/>
        <w:ind w:firstLine="640" w:firstLineChars="200"/>
        <w:rPr>
          <w:rFonts w:ascii="仿宋" w:hAnsi="仿宋" w:eastAsia="仿宋" w:cs="宋体"/>
          <w:kern w:val="0"/>
          <w:sz w:val="32"/>
          <w:szCs w:val="32"/>
        </w:rPr>
      </w:pPr>
      <w:r>
        <w:rPr>
          <w:rFonts w:hint="eastAsia" w:ascii="仿宋" w:hAnsi="仿宋" w:eastAsia="仿宋" w:cs="宋体"/>
          <w:kern w:val="0"/>
          <w:sz w:val="32"/>
          <w:szCs w:val="32"/>
        </w:rPr>
        <w:t>（3）技术转移服务</w:t>
      </w:r>
    </w:p>
    <w:p>
      <w:pPr>
        <w:spacing w:line="360" w:lineRule="auto"/>
        <w:ind w:firstLine="640" w:firstLineChars="200"/>
        <w:rPr>
          <w:rFonts w:ascii="仿宋" w:hAnsi="仿宋" w:eastAsia="仿宋" w:cs="宋体"/>
          <w:kern w:val="0"/>
          <w:sz w:val="32"/>
          <w:szCs w:val="32"/>
        </w:rPr>
      </w:pPr>
      <w:r>
        <w:rPr>
          <w:rFonts w:hint="eastAsia" w:ascii="仿宋" w:hAnsi="仿宋" w:eastAsia="仿宋" w:cs="宋体"/>
          <w:kern w:val="0"/>
          <w:sz w:val="32"/>
          <w:szCs w:val="32"/>
        </w:rPr>
        <w:t>技术转移工作有助于企业的人才培养、知识产权的形成及快速提升成套技术集成能力和国际化能力。在企业内开展技术转移工作实现科研成果、创新成果等向生产力的转化,能发挥企业内技术人员的协同效应,实现知识共享,提升企业产品竞争能力。</w:t>
      </w:r>
    </w:p>
    <w:p>
      <w:pPr>
        <w:spacing w:line="360" w:lineRule="auto"/>
        <w:ind w:firstLine="640" w:firstLineChars="200"/>
        <w:rPr>
          <w:rFonts w:ascii="仿宋" w:hAnsi="仿宋" w:eastAsia="仿宋" w:cs="宋体"/>
          <w:kern w:val="0"/>
          <w:sz w:val="32"/>
          <w:szCs w:val="32"/>
        </w:rPr>
      </w:pPr>
      <w:r>
        <w:rPr>
          <w:rFonts w:hint="eastAsia" w:ascii="仿宋" w:hAnsi="仿宋" w:eastAsia="仿宋" w:cs="宋体"/>
          <w:kern w:val="0"/>
          <w:sz w:val="32"/>
          <w:szCs w:val="32"/>
        </w:rPr>
        <w:t>技术转移的内容包括专利权、计算机软件著作权、集成电路布图设计专有权、植物新品种权等知识产权，临床批件、新药证书、生产批件等转让，以及其他技术成果所属权的转移等，包括了技术转移前的评价服务，转移中的成果专业与实施许可服务，信息推广与项目对接交易服务，转移后的备案登记服务等。而科技型中小企业在技术转移活动中既扮演了技术接受者的角色，也会扮演技术受让者的角色，因此，对技术转移服务的需求是双向的。因此，本标准针对上述情形进行综合分析，对技术服务内容等作出要求，其中：</w:t>
      </w:r>
    </w:p>
    <w:p>
      <w:pPr>
        <w:spacing w:line="360" w:lineRule="auto"/>
        <w:ind w:firstLine="640" w:firstLineChars="200"/>
        <w:rPr>
          <w:rFonts w:ascii="仿宋" w:hAnsi="仿宋" w:eastAsia="仿宋" w:cs="宋体"/>
          <w:kern w:val="0"/>
          <w:sz w:val="32"/>
          <w:szCs w:val="32"/>
        </w:rPr>
      </w:pPr>
      <w:r>
        <w:rPr>
          <w:rFonts w:hint="eastAsia" w:ascii="仿宋" w:hAnsi="仿宋" w:eastAsia="仿宋" w:cs="宋体"/>
          <w:kern w:val="0"/>
          <w:sz w:val="32"/>
          <w:szCs w:val="32"/>
        </w:rPr>
        <w:t>——评价既是技术转移前的必经过程和必备条件，也是转移实施过程中验证其效果的有效手段，因此，本标准从技术转移全过程对评价的需求作出了评价服务内容的要求，包括技术转移项目前期立项、中期实施、后期效果的评价；技术成果的技术价值、经济价值、实施风险的评价；技术转让、技术入股、技术并购时的价值评价等服务。</w:t>
      </w:r>
    </w:p>
    <w:p>
      <w:pPr>
        <w:spacing w:line="360" w:lineRule="auto"/>
        <w:ind w:firstLine="640" w:firstLineChars="200"/>
        <w:rPr>
          <w:rFonts w:ascii="仿宋" w:hAnsi="仿宋" w:eastAsia="仿宋" w:cs="宋体"/>
          <w:kern w:val="0"/>
          <w:sz w:val="32"/>
          <w:szCs w:val="32"/>
        </w:rPr>
      </w:pPr>
      <w:r>
        <w:rPr>
          <w:rFonts w:hint="eastAsia" w:ascii="仿宋" w:hAnsi="仿宋" w:eastAsia="仿宋" w:cs="宋体"/>
          <w:kern w:val="0"/>
          <w:sz w:val="32"/>
          <w:szCs w:val="32"/>
        </w:rPr>
        <w:t>——科技型中小企业对专利权、专利申请权、计算机软件著作权、集成电路布图设计专有权、植物新品种权等知识产权，以及技术秘密等及时技术转移受让方、也可能是接收方，对其均有需求，因此，应为上述技术的产权转让和实施等提供服务。同时，科技型中小企业除了需要资金支持以外，还需要技术支持，因此，技术入股是其有效途径，作为服务机构，还应提供技术入股等的支撑服务。</w:t>
      </w:r>
    </w:p>
    <w:p>
      <w:pPr>
        <w:spacing w:line="360" w:lineRule="auto"/>
        <w:ind w:firstLine="640" w:firstLineChars="200"/>
        <w:rPr>
          <w:rFonts w:ascii="仿宋" w:hAnsi="仿宋" w:eastAsia="仿宋" w:cs="宋体"/>
          <w:kern w:val="0"/>
          <w:sz w:val="32"/>
          <w:szCs w:val="32"/>
        </w:rPr>
      </w:pPr>
      <w:r>
        <w:rPr>
          <w:rFonts w:hint="eastAsia" w:ascii="仿宋" w:hAnsi="仿宋" w:eastAsia="仿宋" w:cs="宋体"/>
          <w:kern w:val="0"/>
          <w:sz w:val="32"/>
          <w:szCs w:val="32"/>
        </w:rPr>
        <w:t>——技术转移前，技术成果交易信息的发布和获取是必要，为了解决交易双方信息不对称的问题，服务机构一方面以中立的角色发布技术成果信息、需求信息、挂牌交易与公示信息，一方面通过搭建交易平台（线上或线下），为交易双方提供交易对接。</w:t>
      </w:r>
    </w:p>
    <w:p>
      <w:pPr>
        <w:spacing w:line="360" w:lineRule="auto"/>
        <w:ind w:firstLine="640" w:firstLineChars="200"/>
        <w:rPr>
          <w:rFonts w:ascii="仿宋" w:hAnsi="仿宋" w:eastAsia="仿宋" w:cs="宋体"/>
          <w:kern w:val="0"/>
          <w:sz w:val="32"/>
          <w:szCs w:val="32"/>
        </w:rPr>
      </w:pPr>
      <w:r>
        <w:rPr>
          <w:rFonts w:hint="eastAsia" w:ascii="仿宋" w:hAnsi="仿宋" w:eastAsia="仿宋" w:cs="宋体"/>
          <w:kern w:val="0"/>
          <w:sz w:val="32"/>
          <w:szCs w:val="32"/>
        </w:rPr>
        <w:t>——在服务提供过程中，服务机构还应采取相应的手段或关注相关事项，为科技型中小企业提供服务，包括签订服务协议、搭建服务平台，以及与高等院校、科研院所、科技类社团组织、社会化专业技术转移服务机构等建立合作关系等。同时，在</w:t>
      </w:r>
      <w:bookmarkStart w:id="2" w:name="_Hlk119934452"/>
      <w:r>
        <w:rPr>
          <w:rFonts w:hint="eastAsia" w:ascii="仿宋" w:hAnsi="仿宋" w:eastAsia="仿宋" w:cs="宋体"/>
          <w:kern w:val="0"/>
          <w:sz w:val="32"/>
          <w:szCs w:val="32"/>
        </w:rPr>
        <w:t>涉及技术受让方为国外个人或组织，服务机构应</w:t>
      </w:r>
      <w:bookmarkStart w:id="3" w:name="_Hlk119934438"/>
      <w:r>
        <w:rPr>
          <w:rFonts w:hint="eastAsia" w:ascii="仿宋" w:hAnsi="仿宋" w:eastAsia="仿宋" w:cs="宋体"/>
          <w:kern w:val="0"/>
          <w:sz w:val="32"/>
          <w:szCs w:val="32"/>
        </w:rPr>
        <w:t>提示服务对象依法办理技术出口审批</w:t>
      </w:r>
      <w:bookmarkEnd w:id="3"/>
      <w:r>
        <w:rPr>
          <w:rFonts w:hint="eastAsia" w:ascii="仿宋" w:hAnsi="仿宋" w:eastAsia="仿宋" w:cs="宋体"/>
          <w:kern w:val="0"/>
          <w:sz w:val="32"/>
          <w:szCs w:val="32"/>
        </w:rPr>
        <w:t>手续</w:t>
      </w:r>
      <w:bookmarkEnd w:id="2"/>
      <w:r>
        <w:rPr>
          <w:rFonts w:hint="eastAsia" w:ascii="仿宋" w:hAnsi="仿宋" w:eastAsia="仿宋" w:cs="宋体"/>
          <w:kern w:val="0"/>
          <w:sz w:val="32"/>
          <w:szCs w:val="32"/>
        </w:rPr>
        <w:t>。</w:t>
      </w:r>
    </w:p>
    <w:p>
      <w:pPr>
        <w:spacing w:line="360" w:lineRule="auto"/>
        <w:ind w:firstLine="640" w:firstLineChars="200"/>
        <w:rPr>
          <w:rFonts w:ascii="仿宋" w:hAnsi="仿宋" w:eastAsia="仿宋" w:cs="宋体"/>
          <w:kern w:val="0"/>
          <w:sz w:val="32"/>
          <w:szCs w:val="32"/>
        </w:rPr>
      </w:pPr>
      <w:r>
        <w:rPr>
          <w:rFonts w:hint="eastAsia" w:ascii="仿宋" w:hAnsi="仿宋" w:eastAsia="仿宋" w:cs="宋体"/>
          <w:kern w:val="0"/>
          <w:sz w:val="32"/>
          <w:szCs w:val="32"/>
        </w:rPr>
        <w:t>同时，提出服务机构应充分利用大数据挖掘和分析，为科技型中小企业提供精准对接服务和定制服务。此外，按照《技术合同认定登记管理办法》的要求，服务机构还需要为属于技术合同认定登记范围的技术合同登记备案提供基础性服务。</w:t>
      </w:r>
    </w:p>
    <w:p>
      <w:pPr>
        <w:spacing w:line="360" w:lineRule="auto"/>
        <w:ind w:firstLine="640" w:firstLineChars="200"/>
        <w:rPr>
          <w:rFonts w:ascii="仿宋" w:hAnsi="仿宋" w:eastAsia="仿宋" w:cs="宋体"/>
          <w:kern w:val="0"/>
          <w:sz w:val="32"/>
          <w:szCs w:val="32"/>
        </w:rPr>
      </w:pPr>
      <w:r>
        <w:rPr>
          <w:rFonts w:hint="eastAsia" w:ascii="仿宋" w:hAnsi="仿宋" w:eastAsia="仿宋" w:cs="宋体"/>
          <w:kern w:val="0"/>
          <w:sz w:val="32"/>
          <w:szCs w:val="32"/>
        </w:rPr>
        <w:t>（4）知识产权服务</w:t>
      </w:r>
    </w:p>
    <w:p>
      <w:pPr>
        <w:spacing w:line="360" w:lineRule="auto"/>
        <w:ind w:firstLine="640" w:firstLineChars="200"/>
        <w:rPr>
          <w:rFonts w:ascii="仿宋" w:hAnsi="仿宋" w:eastAsia="仿宋" w:cs="宋体"/>
          <w:kern w:val="0"/>
          <w:sz w:val="32"/>
          <w:szCs w:val="32"/>
        </w:rPr>
      </w:pPr>
      <w:r>
        <w:rPr>
          <w:rFonts w:hint="eastAsia" w:ascii="仿宋" w:hAnsi="仿宋" w:eastAsia="仿宋" w:cs="宋体"/>
          <w:kern w:val="0"/>
          <w:sz w:val="32"/>
          <w:szCs w:val="32"/>
        </w:rPr>
        <w:t>21世纪是知识经济的时代，创新是知识经济时代的灵魂。在企业发展战略中，知识产权战略是其重要的组成部分。而知识产权战略往往被企业尤其是中小企业所忽视的，可以说知识产权正是中小企业四两拨千斤的重要手段。</w:t>
      </w:r>
    </w:p>
    <w:p>
      <w:pPr>
        <w:spacing w:line="360" w:lineRule="auto"/>
        <w:ind w:firstLine="640" w:firstLineChars="200"/>
        <w:rPr>
          <w:rFonts w:ascii="仿宋" w:hAnsi="仿宋" w:eastAsia="仿宋" w:cs="宋体"/>
          <w:kern w:val="0"/>
          <w:sz w:val="32"/>
          <w:szCs w:val="32"/>
        </w:rPr>
      </w:pPr>
      <w:r>
        <w:rPr>
          <w:rFonts w:hint="eastAsia" w:ascii="仿宋" w:hAnsi="仿宋" w:eastAsia="仿宋" w:cs="宋体"/>
          <w:kern w:val="0"/>
          <w:sz w:val="32"/>
          <w:szCs w:val="32"/>
        </w:rPr>
        <w:t>由于《科技型中小企业评价办法》中对其产出的知识产权数量有相关的要求，因此，科技型中小企业是知识产权的产出重要主体，也是知识产权全过程服务的需求主体。企业在获取知识产权前，需要对其进行检索分析；在申请过程中需要撰写权利要求等申请材料；在进行授权许可时需进行价值评价等。通过调研了解，由于科技型中小企业受其自身能力的限制，基本依托第三方知识产权服务机构进行知识产权服务，包括专利查新和信息检索、专利申请等。当出现知识产权纠纷时，需要专业的法律服务机构提供代理诉讼等。因此，要求服务机构针对科技型中小企业对知识产权服务需求的特点，围绕知识产权检索分析、数据库建设，专利信息检索、预警、申请、转让、侵权诉讼，新产品和新技术研发专利导航，以及商标注册、版权登记、软件著作权申请等代理，知识产权优化、技术评价、法律风险评价、产业化经济价值评价、投资价值评估等知识产权评估等提供专业的知识产权服务。同时，随着科技型中小企业对知识产权管理意识的提升，对企业知识产权管理体系建设的需求与日俱增，因此服务机构还应当能提供知识产权贯标咨询服务。若能取得相应的认证资格，还可以对其提供第三方评价服务。</w:t>
      </w:r>
    </w:p>
    <w:p>
      <w:pPr>
        <w:spacing w:line="360" w:lineRule="auto"/>
        <w:ind w:firstLine="640" w:firstLineChars="200"/>
        <w:rPr>
          <w:rFonts w:ascii="仿宋" w:hAnsi="仿宋" w:eastAsia="仿宋" w:cs="宋体"/>
          <w:kern w:val="0"/>
          <w:sz w:val="32"/>
          <w:szCs w:val="32"/>
        </w:rPr>
      </w:pPr>
      <w:r>
        <w:rPr>
          <w:rFonts w:hint="eastAsia" w:ascii="仿宋" w:hAnsi="仿宋" w:eastAsia="仿宋" w:cs="宋体"/>
          <w:kern w:val="0"/>
          <w:sz w:val="32"/>
          <w:szCs w:val="32"/>
        </w:rPr>
        <w:t>（5）科技金融服务</w:t>
      </w:r>
    </w:p>
    <w:p>
      <w:pPr>
        <w:spacing w:line="360" w:lineRule="auto"/>
        <w:ind w:firstLine="640" w:firstLineChars="200"/>
        <w:rPr>
          <w:rFonts w:ascii="仿宋" w:hAnsi="仿宋" w:eastAsia="仿宋" w:cs="宋体"/>
          <w:kern w:val="0"/>
          <w:sz w:val="32"/>
          <w:szCs w:val="32"/>
        </w:rPr>
      </w:pPr>
      <w:r>
        <w:rPr>
          <w:rFonts w:hint="eastAsia" w:ascii="仿宋" w:hAnsi="仿宋" w:eastAsia="仿宋" w:cs="宋体"/>
          <w:kern w:val="0"/>
          <w:sz w:val="32"/>
          <w:szCs w:val="32"/>
        </w:rPr>
        <w:t>由于研发与运用新技术方面有不确定性，而且单一新技术的开发具有很强的应用限制，科技型中小企业在融资时面临各种困难。且不同的科技型中小企业对金融服务的需求不同，不同的金融机构提供的金融服务也不同，表中列出了部分金融机构针对科技型中小企业提供的金融服务。</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2"/>
        <w:gridCol w:w="2694"/>
        <w:gridCol w:w="45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242" w:type="dxa"/>
            <w:vAlign w:val="center"/>
          </w:tcPr>
          <w:p>
            <w:pPr>
              <w:jc w:val="center"/>
              <w:rPr>
                <w:rFonts w:ascii="仿宋" w:hAnsi="仿宋" w:eastAsia="仿宋" w:cs="宋体"/>
                <w:b/>
                <w:kern w:val="0"/>
                <w:sz w:val="24"/>
              </w:rPr>
            </w:pPr>
            <w:r>
              <w:rPr>
                <w:rFonts w:ascii="仿宋" w:hAnsi="仿宋" w:eastAsia="仿宋" w:cs="宋体"/>
                <w:b/>
                <w:kern w:val="0"/>
                <w:sz w:val="24"/>
              </w:rPr>
              <w:t>序号</w:t>
            </w:r>
          </w:p>
        </w:tc>
        <w:tc>
          <w:tcPr>
            <w:tcW w:w="2694" w:type="dxa"/>
            <w:vAlign w:val="center"/>
          </w:tcPr>
          <w:p>
            <w:pPr>
              <w:jc w:val="center"/>
              <w:rPr>
                <w:rFonts w:ascii="仿宋" w:hAnsi="仿宋" w:eastAsia="仿宋" w:cs="宋体"/>
                <w:b/>
                <w:kern w:val="0"/>
                <w:sz w:val="24"/>
              </w:rPr>
            </w:pPr>
            <w:r>
              <w:rPr>
                <w:rFonts w:ascii="仿宋" w:hAnsi="仿宋" w:eastAsia="仿宋" w:cs="宋体"/>
                <w:b/>
                <w:kern w:val="0"/>
                <w:sz w:val="24"/>
              </w:rPr>
              <w:t>金融机构</w:t>
            </w:r>
          </w:p>
        </w:tc>
        <w:tc>
          <w:tcPr>
            <w:tcW w:w="4586" w:type="dxa"/>
            <w:vAlign w:val="center"/>
          </w:tcPr>
          <w:p>
            <w:pPr>
              <w:jc w:val="center"/>
              <w:rPr>
                <w:rFonts w:ascii="仿宋" w:hAnsi="仿宋" w:eastAsia="仿宋" w:cs="宋体"/>
                <w:b/>
                <w:kern w:val="0"/>
                <w:sz w:val="24"/>
              </w:rPr>
            </w:pPr>
            <w:r>
              <w:rPr>
                <w:rFonts w:ascii="仿宋" w:hAnsi="仿宋" w:eastAsia="仿宋" w:cs="宋体"/>
                <w:b/>
                <w:kern w:val="0"/>
                <w:sz w:val="24"/>
              </w:rPr>
              <w:t>服务内容及项目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Align w:val="center"/>
          </w:tcPr>
          <w:p>
            <w:pPr>
              <w:shd w:val="clear" w:color="auto" w:fill="FFFFFF"/>
              <w:jc w:val="center"/>
              <w:rPr>
                <w:rFonts w:ascii="仿宋" w:hAnsi="仿宋" w:eastAsia="仿宋"/>
                <w:sz w:val="24"/>
                <w:shd w:val="clear" w:color="auto" w:fill="FFFFFF"/>
              </w:rPr>
            </w:pPr>
            <w:r>
              <w:rPr>
                <w:rFonts w:hint="eastAsia" w:ascii="仿宋" w:hAnsi="仿宋" w:eastAsia="仿宋"/>
                <w:sz w:val="24"/>
                <w:shd w:val="clear" w:color="auto" w:fill="FFFFFF"/>
              </w:rPr>
              <w:t>1</w:t>
            </w:r>
          </w:p>
        </w:tc>
        <w:tc>
          <w:tcPr>
            <w:tcW w:w="2694" w:type="dxa"/>
            <w:vAlign w:val="center"/>
          </w:tcPr>
          <w:p>
            <w:pPr>
              <w:shd w:val="clear" w:color="auto" w:fill="FFFFFF"/>
              <w:jc w:val="left"/>
              <w:rPr>
                <w:rFonts w:ascii="仿宋" w:hAnsi="仿宋" w:eastAsia="仿宋" w:cs="宋体"/>
                <w:kern w:val="0"/>
                <w:sz w:val="24"/>
              </w:rPr>
            </w:pPr>
            <w:r>
              <w:rPr>
                <w:rFonts w:hint="eastAsia" w:ascii="仿宋" w:hAnsi="仿宋" w:eastAsia="仿宋"/>
                <w:sz w:val="24"/>
                <w:shd w:val="clear" w:color="auto" w:fill="FFFFFF"/>
              </w:rPr>
              <w:t>农业银行</w:t>
            </w:r>
          </w:p>
        </w:tc>
        <w:tc>
          <w:tcPr>
            <w:tcW w:w="4586" w:type="dxa"/>
            <w:vAlign w:val="center"/>
          </w:tcPr>
          <w:p>
            <w:pPr>
              <w:widowControl/>
              <w:shd w:val="clear" w:color="auto" w:fill="FFFFFF"/>
              <w:jc w:val="left"/>
              <w:rPr>
                <w:rFonts w:ascii="仿宋" w:hAnsi="仿宋" w:eastAsia="仿宋" w:cs="宋体"/>
                <w:kern w:val="0"/>
                <w:sz w:val="24"/>
              </w:rPr>
            </w:pPr>
            <w:r>
              <w:rPr>
                <w:rFonts w:hint="eastAsia" w:ascii="仿宋" w:hAnsi="仿宋" w:eastAsia="仿宋" w:cs="宋体"/>
                <w:kern w:val="0"/>
                <w:sz w:val="24"/>
              </w:rPr>
              <w:t>1.小企业简式贷</w:t>
            </w:r>
          </w:p>
          <w:p>
            <w:pPr>
              <w:widowControl/>
              <w:shd w:val="clear" w:color="auto" w:fill="FFFFFF"/>
              <w:jc w:val="left"/>
              <w:rPr>
                <w:rFonts w:ascii="仿宋" w:hAnsi="仿宋" w:eastAsia="仿宋" w:cs="宋体"/>
                <w:kern w:val="0"/>
                <w:sz w:val="24"/>
              </w:rPr>
            </w:pPr>
            <w:r>
              <w:rPr>
                <w:rFonts w:hint="eastAsia" w:ascii="仿宋" w:hAnsi="仿宋" w:eastAsia="仿宋" w:cs="宋体"/>
                <w:kern w:val="0"/>
                <w:sz w:val="24"/>
              </w:rPr>
              <w:t>2.贸易融资贷款</w:t>
            </w:r>
          </w:p>
          <w:p>
            <w:pPr>
              <w:widowControl/>
              <w:shd w:val="clear" w:color="auto" w:fill="FFFFFF"/>
              <w:jc w:val="left"/>
              <w:rPr>
                <w:rFonts w:ascii="仿宋" w:hAnsi="仿宋" w:eastAsia="仿宋" w:cs="宋体"/>
                <w:kern w:val="0"/>
                <w:sz w:val="24"/>
              </w:rPr>
            </w:pPr>
            <w:r>
              <w:rPr>
                <w:rFonts w:hint="eastAsia" w:ascii="仿宋" w:hAnsi="仿宋" w:eastAsia="仿宋" w:cs="宋体"/>
                <w:kern w:val="0"/>
                <w:sz w:val="24"/>
              </w:rPr>
              <w:t>3.信用贷</w:t>
            </w:r>
          </w:p>
          <w:p>
            <w:pPr>
              <w:widowControl/>
              <w:shd w:val="clear" w:color="auto" w:fill="FFFFFF"/>
              <w:jc w:val="left"/>
              <w:rPr>
                <w:rFonts w:ascii="仿宋" w:hAnsi="仿宋" w:eastAsia="仿宋" w:cs="宋体"/>
                <w:kern w:val="0"/>
                <w:sz w:val="24"/>
              </w:rPr>
            </w:pPr>
            <w:r>
              <w:rPr>
                <w:rFonts w:hint="eastAsia" w:ascii="仿宋" w:hAnsi="仿宋" w:eastAsia="仿宋" w:cs="宋体"/>
                <w:kern w:val="0"/>
                <w:sz w:val="24"/>
              </w:rPr>
              <w:t>4.“银政企”贴息贷款</w:t>
            </w:r>
          </w:p>
          <w:p>
            <w:pPr>
              <w:widowControl/>
              <w:shd w:val="clear" w:color="auto" w:fill="FFFFFF"/>
              <w:jc w:val="left"/>
              <w:rPr>
                <w:rFonts w:ascii="仿宋" w:hAnsi="仿宋" w:eastAsia="仿宋" w:cs="宋体"/>
                <w:kern w:val="0"/>
                <w:sz w:val="24"/>
              </w:rPr>
            </w:pPr>
            <w:r>
              <w:rPr>
                <w:rFonts w:hint="eastAsia" w:ascii="仿宋" w:hAnsi="仿宋" w:eastAsia="仿宋" w:cs="宋体"/>
                <w:kern w:val="0"/>
                <w:sz w:val="24"/>
              </w:rPr>
              <w:t>5.农行首推在线贴现业务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Align w:val="center"/>
          </w:tcPr>
          <w:p>
            <w:pPr>
              <w:jc w:val="center"/>
              <w:rPr>
                <w:rFonts w:ascii="仿宋" w:hAnsi="仿宋" w:eastAsia="仿宋"/>
                <w:sz w:val="24"/>
                <w:shd w:val="clear" w:color="auto" w:fill="FFFFFF"/>
              </w:rPr>
            </w:pPr>
            <w:r>
              <w:rPr>
                <w:rFonts w:hint="eastAsia" w:ascii="仿宋" w:hAnsi="仿宋" w:eastAsia="仿宋"/>
                <w:sz w:val="24"/>
                <w:shd w:val="clear" w:color="auto" w:fill="FFFFFF"/>
              </w:rPr>
              <w:t>2</w:t>
            </w:r>
          </w:p>
        </w:tc>
        <w:tc>
          <w:tcPr>
            <w:tcW w:w="2694" w:type="dxa"/>
            <w:vAlign w:val="center"/>
          </w:tcPr>
          <w:p>
            <w:pPr>
              <w:jc w:val="left"/>
              <w:rPr>
                <w:rFonts w:ascii="仿宋" w:hAnsi="仿宋" w:eastAsia="仿宋" w:cs="宋体"/>
                <w:kern w:val="0"/>
                <w:sz w:val="24"/>
              </w:rPr>
            </w:pPr>
            <w:r>
              <w:rPr>
                <w:rFonts w:hint="eastAsia" w:ascii="仿宋" w:hAnsi="仿宋" w:eastAsia="仿宋"/>
                <w:sz w:val="24"/>
                <w:shd w:val="clear" w:color="auto" w:fill="FFFFFF"/>
              </w:rPr>
              <w:t>邮政储蓄银行</w:t>
            </w:r>
          </w:p>
        </w:tc>
        <w:tc>
          <w:tcPr>
            <w:tcW w:w="4586" w:type="dxa"/>
            <w:vAlign w:val="center"/>
          </w:tcPr>
          <w:p>
            <w:pPr>
              <w:widowControl/>
              <w:shd w:val="clear" w:color="auto" w:fill="FFFFFF"/>
              <w:jc w:val="left"/>
              <w:rPr>
                <w:rFonts w:ascii="仿宋" w:hAnsi="仿宋" w:eastAsia="仿宋" w:cs="宋体"/>
                <w:kern w:val="0"/>
                <w:sz w:val="24"/>
              </w:rPr>
            </w:pPr>
            <w:r>
              <w:rPr>
                <w:rFonts w:hint="eastAsia" w:ascii="仿宋" w:hAnsi="仿宋" w:eastAsia="仿宋" w:cs="宋体"/>
                <w:kern w:val="0"/>
                <w:sz w:val="24"/>
              </w:rPr>
              <w:t>1.信易贷</w:t>
            </w:r>
          </w:p>
          <w:p>
            <w:pPr>
              <w:widowControl/>
              <w:shd w:val="clear" w:color="auto" w:fill="FFFFFF"/>
              <w:jc w:val="left"/>
              <w:rPr>
                <w:rFonts w:ascii="仿宋" w:hAnsi="仿宋" w:eastAsia="仿宋" w:cs="宋体"/>
                <w:kern w:val="0"/>
                <w:sz w:val="24"/>
              </w:rPr>
            </w:pPr>
            <w:r>
              <w:rPr>
                <w:rFonts w:hint="eastAsia" w:ascii="仿宋" w:hAnsi="仿宋" w:eastAsia="仿宋" w:cs="宋体"/>
                <w:kern w:val="0"/>
                <w:sz w:val="24"/>
              </w:rPr>
              <w:t>2.知识产权质押贷</w:t>
            </w:r>
          </w:p>
          <w:p>
            <w:pPr>
              <w:widowControl/>
              <w:shd w:val="clear" w:color="auto" w:fill="FFFFFF"/>
              <w:jc w:val="left"/>
              <w:rPr>
                <w:rFonts w:ascii="仿宋" w:hAnsi="仿宋" w:eastAsia="仿宋" w:cs="宋体"/>
                <w:kern w:val="0"/>
                <w:sz w:val="24"/>
              </w:rPr>
            </w:pPr>
            <w:r>
              <w:rPr>
                <w:rFonts w:hint="eastAsia" w:ascii="仿宋" w:hAnsi="仿宋" w:eastAsia="仿宋" w:cs="宋体"/>
                <w:kern w:val="0"/>
                <w:sz w:val="24"/>
              </w:rPr>
              <w:t>3.科技型中小企业信用贷</w:t>
            </w:r>
          </w:p>
          <w:p>
            <w:pPr>
              <w:widowControl/>
              <w:shd w:val="clear" w:color="auto" w:fill="FFFFFF"/>
              <w:jc w:val="left"/>
              <w:rPr>
                <w:rFonts w:ascii="仿宋" w:hAnsi="仿宋" w:eastAsia="仿宋" w:cs="宋体"/>
                <w:kern w:val="0"/>
                <w:sz w:val="24"/>
              </w:rPr>
            </w:pPr>
            <w:r>
              <w:rPr>
                <w:rFonts w:hint="eastAsia" w:ascii="仿宋" w:hAnsi="仿宋" w:eastAsia="仿宋" w:cs="宋体"/>
                <w:kern w:val="0"/>
                <w:sz w:val="24"/>
              </w:rPr>
              <w:t>4.股权质押贷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Align w:val="center"/>
          </w:tcPr>
          <w:p>
            <w:pPr>
              <w:jc w:val="center"/>
              <w:rPr>
                <w:rFonts w:ascii="仿宋" w:hAnsi="仿宋" w:eastAsia="仿宋"/>
                <w:sz w:val="24"/>
                <w:shd w:val="clear" w:color="auto" w:fill="FFFFFF"/>
              </w:rPr>
            </w:pPr>
            <w:r>
              <w:rPr>
                <w:rFonts w:hint="eastAsia" w:ascii="仿宋" w:hAnsi="仿宋" w:eastAsia="仿宋"/>
                <w:sz w:val="24"/>
                <w:shd w:val="clear" w:color="auto" w:fill="FFFFFF"/>
              </w:rPr>
              <w:t>3</w:t>
            </w:r>
          </w:p>
        </w:tc>
        <w:tc>
          <w:tcPr>
            <w:tcW w:w="2694" w:type="dxa"/>
            <w:vAlign w:val="center"/>
          </w:tcPr>
          <w:p>
            <w:pPr>
              <w:jc w:val="left"/>
              <w:rPr>
                <w:rFonts w:ascii="仿宋" w:hAnsi="仿宋" w:eastAsia="仿宋" w:cs="宋体"/>
                <w:kern w:val="0"/>
                <w:sz w:val="24"/>
              </w:rPr>
            </w:pPr>
            <w:r>
              <w:rPr>
                <w:rFonts w:hint="eastAsia" w:ascii="仿宋" w:hAnsi="仿宋" w:eastAsia="仿宋"/>
                <w:sz w:val="24"/>
                <w:shd w:val="clear" w:color="auto" w:fill="FFFFFF"/>
              </w:rPr>
              <w:t>工商银行</w:t>
            </w:r>
          </w:p>
        </w:tc>
        <w:tc>
          <w:tcPr>
            <w:tcW w:w="4586" w:type="dxa"/>
            <w:vAlign w:val="center"/>
          </w:tcPr>
          <w:p>
            <w:pPr>
              <w:widowControl/>
              <w:shd w:val="clear" w:color="auto" w:fill="FFFFFF"/>
              <w:jc w:val="left"/>
              <w:rPr>
                <w:rFonts w:ascii="仿宋" w:hAnsi="仿宋" w:eastAsia="仿宋" w:cs="宋体"/>
                <w:kern w:val="0"/>
                <w:sz w:val="24"/>
              </w:rPr>
            </w:pPr>
            <w:r>
              <w:rPr>
                <w:rFonts w:hint="eastAsia" w:ascii="仿宋" w:hAnsi="仿宋" w:eastAsia="仿宋" w:cs="宋体"/>
                <w:kern w:val="0"/>
                <w:sz w:val="24"/>
              </w:rPr>
              <w:t>1.电子供应链融资</w:t>
            </w:r>
          </w:p>
          <w:p>
            <w:pPr>
              <w:widowControl/>
              <w:shd w:val="clear" w:color="auto" w:fill="FFFFFF"/>
              <w:jc w:val="left"/>
              <w:rPr>
                <w:rFonts w:ascii="仿宋" w:hAnsi="仿宋" w:eastAsia="仿宋" w:cs="宋体"/>
                <w:kern w:val="0"/>
                <w:sz w:val="24"/>
              </w:rPr>
            </w:pPr>
            <w:r>
              <w:rPr>
                <w:rFonts w:hint="eastAsia" w:ascii="仿宋" w:hAnsi="仿宋" w:eastAsia="仿宋" w:cs="宋体"/>
                <w:kern w:val="0"/>
                <w:sz w:val="24"/>
              </w:rPr>
              <w:t>2.固定资产购建贷款</w:t>
            </w:r>
          </w:p>
          <w:p>
            <w:pPr>
              <w:widowControl/>
              <w:shd w:val="clear" w:color="auto" w:fill="FFFFFF"/>
              <w:jc w:val="left"/>
              <w:rPr>
                <w:rFonts w:ascii="仿宋" w:hAnsi="仿宋" w:eastAsia="仿宋" w:cs="宋体"/>
                <w:kern w:val="0"/>
                <w:sz w:val="24"/>
              </w:rPr>
            </w:pPr>
            <w:r>
              <w:rPr>
                <w:rFonts w:hint="eastAsia" w:ascii="仿宋" w:hAnsi="仿宋" w:eastAsia="仿宋" w:cs="宋体"/>
                <w:kern w:val="0"/>
                <w:sz w:val="24"/>
              </w:rPr>
              <w:t>3.票据池融资业务</w:t>
            </w:r>
          </w:p>
          <w:p>
            <w:pPr>
              <w:widowControl/>
              <w:shd w:val="clear" w:color="auto" w:fill="FFFFFF"/>
              <w:jc w:val="left"/>
              <w:rPr>
                <w:rFonts w:ascii="仿宋" w:hAnsi="仿宋" w:eastAsia="仿宋" w:cs="宋体"/>
                <w:kern w:val="0"/>
                <w:sz w:val="24"/>
              </w:rPr>
            </w:pPr>
            <w:r>
              <w:rPr>
                <w:rFonts w:hint="eastAsia" w:ascii="仿宋" w:hAnsi="仿宋" w:eastAsia="仿宋" w:cs="宋体"/>
                <w:kern w:val="0"/>
                <w:sz w:val="24"/>
              </w:rPr>
              <w:t>4.网上质押融资</w:t>
            </w:r>
          </w:p>
          <w:p>
            <w:pPr>
              <w:widowControl/>
              <w:shd w:val="clear" w:color="auto" w:fill="FFFFFF"/>
              <w:jc w:val="left"/>
              <w:rPr>
                <w:rFonts w:ascii="仿宋" w:hAnsi="仿宋" w:eastAsia="仿宋" w:cs="宋体"/>
                <w:kern w:val="0"/>
                <w:sz w:val="24"/>
              </w:rPr>
            </w:pPr>
            <w:r>
              <w:rPr>
                <w:rFonts w:hint="eastAsia" w:ascii="仿宋" w:hAnsi="仿宋" w:eastAsia="仿宋" w:cs="宋体"/>
                <w:kern w:val="0"/>
                <w:sz w:val="24"/>
              </w:rPr>
              <w:t>5.网贷通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Align w:val="center"/>
          </w:tcPr>
          <w:p>
            <w:pPr>
              <w:jc w:val="center"/>
              <w:rPr>
                <w:rFonts w:ascii="仿宋" w:hAnsi="仿宋" w:eastAsia="仿宋"/>
                <w:sz w:val="24"/>
                <w:shd w:val="clear" w:color="auto" w:fill="FFFFFF"/>
              </w:rPr>
            </w:pPr>
            <w:r>
              <w:rPr>
                <w:rFonts w:hint="eastAsia" w:ascii="仿宋" w:hAnsi="仿宋" w:eastAsia="仿宋"/>
                <w:sz w:val="24"/>
                <w:shd w:val="clear" w:color="auto" w:fill="FFFFFF"/>
              </w:rPr>
              <w:t>4</w:t>
            </w:r>
          </w:p>
        </w:tc>
        <w:tc>
          <w:tcPr>
            <w:tcW w:w="2694" w:type="dxa"/>
            <w:vAlign w:val="center"/>
          </w:tcPr>
          <w:p>
            <w:pPr>
              <w:jc w:val="left"/>
              <w:rPr>
                <w:rFonts w:ascii="仿宋" w:hAnsi="仿宋" w:eastAsia="仿宋" w:cs="宋体"/>
                <w:kern w:val="0"/>
                <w:sz w:val="24"/>
              </w:rPr>
            </w:pPr>
            <w:r>
              <w:rPr>
                <w:rFonts w:hint="eastAsia" w:ascii="仿宋" w:hAnsi="仿宋" w:eastAsia="仿宋"/>
                <w:sz w:val="24"/>
                <w:shd w:val="clear" w:color="auto" w:fill="FFFFFF"/>
              </w:rPr>
              <w:t>民生银行</w:t>
            </w:r>
          </w:p>
        </w:tc>
        <w:tc>
          <w:tcPr>
            <w:tcW w:w="4586" w:type="dxa"/>
            <w:vAlign w:val="center"/>
          </w:tcPr>
          <w:p>
            <w:pPr>
              <w:widowControl/>
              <w:shd w:val="clear" w:color="auto" w:fill="FFFFFF"/>
              <w:jc w:val="left"/>
              <w:rPr>
                <w:rFonts w:ascii="仿宋" w:hAnsi="仿宋" w:eastAsia="仿宋" w:cs="宋体"/>
                <w:kern w:val="0"/>
                <w:sz w:val="24"/>
              </w:rPr>
            </w:pPr>
            <w:r>
              <w:rPr>
                <w:rFonts w:hint="eastAsia" w:ascii="仿宋" w:hAnsi="仿宋" w:eastAsia="仿宋" w:cs="宋体"/>
                <w:kern w:val="0"/>
                <w:sz w:val="24"/>
              </w:rPr>
              <w:t>1.附转股条件的贷款产品</w:t>
            </w:r>
          </w:p>
          <w:p>
            <w:pPr>
              <w:widowControl/>
              <w:shd w:val="clear" w:color="auto" w:fill="FFFFFF"/>
              <w:jc w:val="left"/>
              <w:rPr>
                <w:rFonts w:ascii="仿宋" w:hAnsi="仿宋" w:eastAsia="仿宋" w:cs="宋体"/>
                <w:kern w:val="0"/>
                <w:sz w:val="24"/>
              </w:rPr>
            </w:pPr>
            <w:r>
              <w:rPr>
                <w:rFonts w:hint="eastAsia" w:ascii="仿宋" w:hAnsi="仿宋" w:eastAsia="仿宋" w:cs="宋体"/>
                <w:kern w:val="0"/>
                <w:sz w:val="24"/>
              </w:rPr>
              <w:t>2.附认股期权的贷款产品</w:t>
            </w:r>
          </w:p>
          <w:p>
            <w:pPr>
              <w:widowControl/>
              <w:shd w:val="clear" w:color="auto" w:fill="FFFFFF"/>
              <w:jc w:val="left"/>
              <w:rPr>
                <w:rFonts w:ascii="仿宋" w:hAnsi="仿宋" w:eastAsia="仿宋" w:cs="宋体"/>
                <w:kern w:val="0"/>
                <w:sz w:val="24"/>
              </w:rPr>
            </w:pPr>
            <w:r>
              <w:rPr>
                <w:rFonts w:hint="eastAsia" w:ascii="仿宋" w:hAnsi="仿宋" w:eastAsia="仿宋" w:cs="宋体"/>
                <w:kern w:val="0"/>
                <w:sz w:val="24"/>
              </w:rPr>
              <w:t>3.贷款+股权直投产品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42" w:type="dxa"/>
            <w:vAlign w:val="center"/>
          </w:tcPr>
          <w:p>
            <w:pPr>
              <w:jc w:val="center"/>
              <w:rPr>
                <w:rFonts w:ascii="仿宋" w:hAnsi="仿宋" w:eastAsia="仿宋"/>
                <w:sz w:val="24"/>
                <w:shd w:val="clear" w:color="auto" w:fill="FFFFFF"/>
              </w:rPr>
            </w:pPr>
            <w:r>
              <w:rPr>
                <w:rFonts w:hint="eastAsia" w:ascii="仿宋" w:hAnsi="仿宋" w:eastAsia="仿宋"/>
                <w:sz w:val="24"/>
                <w:shd w:val="clear" w:color="auto" w:fill="FFFFFF"/>
              </w:rPr>
              <w:t>5</w:t>
            </w:r>
          </w:p>
        </w:tc>
        <w:tc>
          <w:tcPr>
            <w:tcW w:w="2694" w:type="dxa"/>
            <w:vAlign w:val="center"/>
          </w:tcPr>
          <w:p>
            <w:pPr>
              <w:jc w:val="left"/>
              <w:rPr>
                <w:rFonts w:ascii="仿宋" w:hAnsi="仿宋" w:eastAsia="仿宋" w:cs="宋体"/>
                <w:kern w:val="0"/>
                <w:sz w:val="24"/>
              </w:rPr>
            </w:pPr>
            <w:r>
              <w:rPr>
                <w:rFonts w:hint="eastAsia" w:ascii="仿宋" w:hAnsi="仿宋" w:eastAsia="仿宋"/>
                <w:sz w:val="24"/>
                <w:shd w:val="clear" w:color="auto" w:fill="FFFFFF"/>
              </w:rPr>
              <w:t>兴业银行</w:t>
            </w:r>
          </w:p>
        </w:tc>
        <w:tc>
          <w:tcPr>
            <w:tcW w:w="4586" w:type="dxa"/>
            <w:vAlign w:val="center"/>
          </w:tcPr>
          <w:p>
            <w:pPr>
              <w:widowControl/>
              <w:shd w:val="clear" w:color="auto" w:fill="FFFFFF"/>
              <w:jc w:val="left"/>
              <w:rPr>
                <w:rFonts w:ascii="仿宋" w:hAnsi="仿宋" w:eastAsia="仿宋" w:cs="宋体"/>
                <w:kern w:val="0"/>
                <w:sz w:val="24"/>
              </w:rPr>
            </w:pPr>
            <w:r>
              <w:rPr>
                <w:rFonts w:hint="eastAsia" w:ascii="仿宋" w:hAnsi="仿宋" w:eastAsia="仿宋" w:cs="宋体"/>
                <w:kern w:val="0"/>
                <w:sz w:val="24"/>
              </w:rPr>
              <w:t>1.创业贷</w:t>
            </w:r>
          </w:p>
          <w:p>
            <w:pPr>
              <w:widowControl/>
              <w:shd w:val="clear" w:color="auto" w:fill="FFFFFF"/>
              <w:jc w:val="left"/>
              <w:rPr>
                <w:rFonts w:ascii="仿宋" w:hAnsi="仿宋" w:eastAsia="仿宋" w:cs="宋体"/>
                <w:kern w:val="0"/>
                <w:sz w:val="24"/>
              </w:rPr>
            </w:pPr>
            <w:r>
              <w:rPr>
                <w:rFonts w:hint="eastAsia" w:ascii="仿宋" w:hAnsi="仿宋" w:eastAsia="仿宋" w:cs="宋体"/>
                <w:kern w:val="0"/>
                <w:sz w:val="24"/>
              </w:rPr>
              <w:t>2.三板贷及新三板股权质押融资</w:t>
            </w:r>
          </w:p>
          <w:p>
            <w:pPr>
              <w:widowControl/>
              <w:shd w:val="clear" w:color="auto" w:fill="FFFFFF"/>
              <w:jc w:val="left"/>
              <w:rPr>
                <w:rFonts w:ascii="仿宋" w:hAnsi="仿宋" w:eastAsia="仿宋" w:cs="宋体"/>
                <w:kern w:val="0"/>
                <w:sz w:val="24"/>
              </w:rPr>
            </w:pPr>
            <w:r>
              <w:rPr>
                <w:rFonts w:hint="eastAsia" w:ascii="仿宋" w:hAnsi="仿宋" w:eastAsia="仿宋" w:cs="宋体"/>
                <w:kern w:val="0"/>
                <w:sz w:val="24"/>
              </w:rPr>
              <w:t>3.信用类贷款</w:t>
            </w:r>
          </w:p>
          <w:p>
            <w:pPr>
              <w:widowControl/>
              <w:shd w:val="clear" w:color="auto" w:fill="FFFFFF"/>
              <w:jc w:val="left"/>
              <w:rPr>
                <w:rFonts w:ascii="仿宋" w:hAnsi="仿宋" w:eastAsia="仿宋" w:cs="宋体"/>
                <w:kern w:val="0"/>
                <w:sz w:val="24"/>
              </w:rPr>
            </w:pPr>
            <w:r>
              <w:rPr>
                <w:rFonts w:hint="eastAsia" w:ascii="仿宋" w:hAnsi="仿宋" w:eastAsia="仿宋" w:cs="宋体"/>
                <w:kern w:val="0"/>
                <w:sz w:val="24"/>
              </w:rPr>
              <w:t>4.投联贷</w:t>
            </w:r>
          </w:p>
          <w:p>
            <w:pPr>
              <w:widowControl/>
              <w:shd w:val="clear" w:color="auto" w:fill="FFFFFF"/>
              <w:jc w:val="left"/>
              <w:rPr>
                <w:rFonts w:ascii="仿宋" w:hAnsi="仿宋" w:eastAsia="仿宋" w:cs="宋体"/>
                <w:kern w:val="0"/>
                <w:sz w:val="24"/>
              </w:rPr>
            </w:pPr>
            <w:r>
              <w:rPr>
                <w:rFonts w:hint="eastAsia" w:ascii="仿宋" w:hAnsi="仿宋" w:eastAsia="仿宋" w:cs="宋体"/>
                <w:kern w:val="0"/>
                <w:sz w:val="24"/>
              </w:rPr>
              <w:t>5.第三条投行业务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Align w:val="center"/>
          </w:tcPr>
          <w:p>
            <w:pPr>
              <w:jc w:val="center"/>
              <w:rPr>
                <w:rFonts w:ascii="仿宋" w:hAnsi="仿宋" w:eastAsia="仿宋"/>
                <w:sz w:val="24"/>
                <w:shd w:val="clear" w:color="auto" w:fill="FFFFFF"/>
              </w:rPr>
            </w:pPr>
            <w:r>
              <w:rPr>
                <w:rFonts w:hint="eastAsia" w:ascii="仿宋" w:hAnsi="仿宋" w:eastAsia="仿宋"/>
                <w:sz w:val="24"/>
                <w:shd w:val="clear" w:color="auto" w:fill="FFFFFF"/>
              </w:rPr>
              <w:t>6</w:t>
            </w:r>
          </w:p>
        </w:tc>
        <w:tc>
          <w:tcPr>
            <w:tcW w:w="2694" w:type="dxa"/>
            <w:vAlign w:val="center"/>
          </w:tcPr>
          <w:p>
            <w:pPr>
              <w:jc w:val="left"/>
              <w:rPr>
                <w:rFonts w:ascii="仿宋" w:hAnsi="仿宋" w:eastAsia="仿宋" w:cs="宋体"/>
                <w:kern w:val="0"/>
                <w:sz w:val="24"/>
              </w:rPr>
            </w:pPr>
            <w:r>
              <w:rPr>
                <w:rFonts w:hint="eastAsia" w:ascii="仿宋" w:hAnsi="仿宋" w:eastAsia="仿宋"/>
                <w:sz w:val="24"/>
                <w:shd w:val="clear" w:color="auto" w:fill="FFFFFF"/>
              </w:rPr>
              <w:t>中国银行</w:t>
            </w:r>
          </w:p>
        </w:tc>
        <w:tc>
          <w:tcPr>
            <w:tcW w:w="4586" w:type="dxa"/>
            <w:vAlign w:val="center"/>
          </w:tcPr>
          <w:p>
            <w:pPr>
              <w:widowControl/>
              <w:shd w:val="clear" w:color="auto" w:fill="FFFFFF"/>
              <w:jc w:val="left"/>
              <w:rPr>
                <w:rFonts w:ascii="仿宋" w:hAnsi="仿宋" w:eastAsia="仿宋" w:cs="宋体"/>
                <w:kern w:val="0"/>
                <w:sz w:val="24"/>
              </w:rPr>
            </w:pPr>
            <w:r>
              <w:rPr>
                <w:rFonts w:hint="eastAsia" w:ascii="仿宋" w:hAnsi="仿宋" w:eastAsia="仿宋" w:cs="宋体"/>
                <w:kern w:val="0"/>
                <w:sz w:val="24"/>
              </w:rPr>
              <w:t>1.短贷通“1.1”</w:t>
            </w:r>
          </w:p>
          <w:p>
            <w:pPr>
              <w:widowControl/>
              <w:shd w:val="clear" w:color="auto" w:fill="FFFFFF"/>
              <w:jc w:val="left"/>
              <w:rPr>
                <w:rFonts w:ascii="仿宋" w:hAnsi="仿宋" w:eastAsia="仿宋" w:cs="宋体"/>
                <w:kern w:val="0"/>
                <w:sz w:val="24"/>
              </w:rPr>
            </w:pPr>
            <w:r>
              <w:rPr>
                <w:rFonts w:hint="eastAsia" w:ascii="仿宋" w:hAnsi="仿宋" w:eastAsia="仿宋" w:cs="宋体"/>
                <w:kern w:val="0"/>
                <w:sz w:val="24"/>
              </w:rPr>
              <w:t>2.纳税贷</w:t>
            </w:r>
          </w:p>
          <w:p>
            <w:pPr>
              <w:widowControl/>
              <w:shd w:val="clear" w:color="auto" w:fill="FFFFFF"/>
              <w:jc w:val="left"/>
              <w:rPr>
                <w:rFonts w:ascii="仿宋" w:hAnsi="仿宋" w:eastAsia="仿宋" w:cs="宋体"/>
                <w:kern w:val="0"/>
                <w:sz w:val="24"/>
              </w:rPr>
            </w:pPr>
            <w:r>
              <w:rPr>
                <w:rFonts w:hint="eastAsia" w:ascii="仿宋" w:hAnsi="仿宋" w:eastAsia="仿宋" w:cs="宋体"/>
                <w:kern w:val="0"/>
                <w:sz w:val="24"/>
              </w:rPr>
              <w:t>3.中银信保贷</w:t>
            </w:r>
          </w:p>
          <w:p>
            <w:pPr>
              <w:widowControl/>
              <w:shd w:val="clear" w:color="auto" w:fill="FFFFFF"/>
              <w:jc w:val="left"/>
              <w:rPr>
                <w:rFonts w:ascii="仿宋" w:hAnsi="仿宋" w:eastAsia="仿宋" w:cs="宋体"/>
                <w:kern w:val="0"/>
                <w:sz w:val="24"/>
              </w:rPr>
            </w:pPr>
            <w:r>
              <w:rPr>
                <w:rFonts w:hint="eastAsia" w:ascii="仿宋" w:hAnsi="仿宋" w:eastAsia="仿宋" w:cs="宋体"/>
                <w:kern w:val="0"/>
                <w:sz w:val="24"/>
              </w:rPr>
              <w:t>4.网融易</w:t>
            </w:r>
          </w:p>
          <w:p>
            <w:pPr>
              <w:widowControl/>
              <w:shd w:val="clear" w:color="auto" w:fill="FFFFFF"/>
              <w:jc w:val="left"/>
              <w:rPr>
                <w:rFonts w:ascii="仿宋" w:hAnsi="仿宋" w:eastAsia="仿宋" w:cs="宋体"/>
                <w:kern w:val="0"/>
                <w:sz w:val="24"/>
              </w:rPr>
            </w:pPr>
            <w:r>
              <w:rPr>
                <w:rFonts w:hint="eastAsia" w:ascii="仿宋" w:hAnsi="仿宋" w:eastAsia="仿宋" w:cs="宋体"/>
                <w:kern w:val="0"/>
                <w:sz w:val="24"/>
              </w:rPr>
              <w:t>5.置业易</w:t>
            </w:r>
          </w:p>
          <w:p>
            <w:pPr>
              <w:widowControl/>
              <w:shd w:val="clear" w:color="auto" w:fill="FFFFFF"/>
              <w:jc w:val="left"/>
              <w:rPr>
                <w:rFonts w:ascii="仿宋" w:hAnsi="仿宋" w:eastAsia="仿宋" w:cs="宋体"/>
                <w:kern w:val="0"/>
                <w:sz w:val="24"/>
              </w:rPr>
            </w:pPr>
            <w:r>
              <w:rPr>
                <w:rFonts w:hint="eastAsia" w:ascii="仿宋" w:hAnsi="仿宋" w:eastAsia="仿宋" w:cs="宋体"/>
                <w:kern w:val="0"/>
                <w:sz w:val="24"/>
              </w:rPr>
              <w:t>6.展业易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Align w:val="center"/>
          </w:tcPr>
          <w:p>
            <w:pPr>
              <w:jc w:val="center"/>
              <w:rPr>
                <w:rFonts w:ascii="仿宋" w:hAnsi="仿宋" w:eastAsia="仿宋"/>
                <w:sz w:val="24"/>
                <w:shd w:val="clear" w:color="auto" w:fill="FFFFFF"/>
              </w:rPr>
            </w:pPr>
            <w:r>
              <w:rPr>
                <w:rFonts w:hint="eastAsia" w:ascii="仿宋" w:hAnsi="仿宋" w:eastAsia="仿宋"/>
                <w:sz w:val="24"/>
                <w:shd w:val="clear" w:color="auto" w:fill="FFFFFF"/>
              </w:rPr>
              <w:t>7</w:t>
            </w:r>
          </w:p>
        </w:tc>
        <w:tc>
          <w:tcPr>
            <w:tcW w:w="2694" w:type="dxa"/>
            <w:vAlign w:val="center"/>
          </w:tcPr>
          <w:p>
            <w:pPr>
              <w:jc w:val="left"/>
              <w:rPr>
                <w:rFonts w:ascii="仿宋" w:hAnsi="仿宋" w:eastAsia="仿宋" w:cs="宋体"/>
                <w:kern w:val="0"/>
                <w:sz w:val="24"/>
              </w:rPr>
            </w:pPr>
            <w:r>
              <w:rPr>
                <w:rFonts w:hint="eastAsia" w:ascii="仿宋" w:hAnsi="仿宋" w:eastAsia="仿宋"/>
                <w:sz w:val="24"/>
                <w:shd w:val="clear" w:color="auto" w:fill="FFFFFF"/>
              </w:rPr>
              <w:t>建设银行</w:t>
            </w:r>
          </w:p>
        </w:tc>
        <w:tc>
          <w:tcPr>
            <w:tcW w:w="4586" w:type="dxa"/>
            <w:vAlign w:val="center"/>
          </w:tcPr>
          <w:p>
            <w:pPr>
              <w:jc w:val="left"/>
              <w:rPr>
                <w:rFonts w:ascii="仿宋" w:hAnsi="仿宋" w:eastAsia="仿宋"/>
                <w:sz w:val="24"/>
                <w:shd w:val="clear" w:color="auto" w:fill="FFFFFF"/>
              </w:rPr>
            </w:pPr>
            <w:r>
              <w:rPr>
                <w:rFonts w:hint="eastAsia" w:ascii="仿宋" w:hAnsi="仿宋" w:eastAsia="仿宋"/>
                <w:sz w:val="24"/>
                <w:shd w:val="clear" w:color="auto" w:fill="FFFFFF"/>
              </w:rPr>
              <w:t>1.抵押云贷</w:t>
            </w:r>
          </w:p>
          <w:p>
            <w:pPr>
              <w:jc w:val="left"/>
              <w:rPr>
                <w:rFonts w:ascii="仿宋" w:hAnsi="仿宋" w:eastAsia="仿宋"/>
                <w:sz w:val="24"/>
                <w:shd w:val="clear" w:color="auto" w:fill="FFFFFF"/>
              </w:rPr>
            </w:pPr>
            <w:r>
              <w:rPr>
                <w:rFonts w:hint="eastAsia" w:ascii="仿宋" w:hAnsi="仿宋" w:eastAsia="仿宋"/>
                <w:sz w:val="24"/>
                <w:shd w:val="clear" w:color="auto" w:fill="FFFFFF"/>
              </w:rPr>
              <w:t>2.云税贷</w:t>
            </w:r>
          </w:p>
          <w:p>
            <w:pPr>
              <w:jc w:val="left"/>
              <w:rPr>
                <w:rFonts w:ascii="仿宋" w:hAnsi="仿宋" w:eastAsia="仿宋" w:cs="宋体"/>
                <w:kern w:val="0"/>
                <w:sz w:val="24"/>
              </w:rPr>
            </w:pPr>
            <w:r>
              <w:rPr>
                <w:rFonts w:hint="eastAsia" w:ascii="仿宋" w:hAnsi="仿宋" w:eastAsia="仿宋"/>
                <w:sz w:val="24"/>
                <w:shd w:val="clear" w:color="auto" w:fill="FFFFFF"/>
              </w:rPr>
              <w:t>3.孵化贷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Align w:val="center"/>
          </w:tcPr>
          <w:p>
            <w:pPr>
              <w:jc w:val="center"/>
              <w:rPr>
                <w:rFonts w:ascii="仿宋" w:hAnsi="仿宋" w:eastAsia="仿宋"/>
                <w:sz w:val="24"/>
                <w:shd w:val="clear" w:color="auto" w:fill="FFFFFF"/>
              </w:rPr>
            </w:pPr>
            <w:r>
              <w:rPr>
                <w:rFonts w:hint="eastAsia" w:ascii="仿宋" w:hAnsi="仿宋" w:eastAsia="仿宋"/>
                <w:sz w:val="24"/>
                <w:shd w:val="clear" w:color="auto" w:fill="FFFFFF"/>
              </w:rPr>
              <w:t>8</w:t>
            </w:r>
          </w:p>
        </w:tc>
        <w:tc>
          <w:tcPr>
            <w:tcW w:w="2694" w:type="dxa"/>
            <w:vAlign w:val="center"/>
          </w:tcPr>
          <w:p>
            <w:pPr>
              <w:jc w:val="left"/>
              <w:rPr>
                <w:rFonts w:ascii="仿宋" w:hAnsi="仿宋" w:eastAsia="仿宋"/>
                <w:sz w:val="24"/>
                <w:shd w:val="clear" w:color="auto" w:fill="FFFFFF"/>
              </w:rPr>
            </w:pPr>
            <w:r>
              <w:rPr>
                <w:rFonts w:hint="eastAsia" w:ascii="仿宋" w:hAnsi="仿宋" w:eastAsia="仿宋"/>
                <w:sz w:val="24"/>
                <w:shd w:val="clear" w:color="auto" w:fill="FFFFFF"/>
              </w:rPr>
              <w:t>浦发银行</w:t>
            </w:r>
          </w:p>
        </w:tc>
        <w:tc>
          <w:tcPr>
            <w:tcW w:w="4586" w:type="dxa"/>
            <w:vAlign w:val="center"/>
          </w:tcPr>
          <w:p>
            <w:pPr>
              <w:widowControl/>
              <w:shd w:val="clear" w:color="auto" w:fill="FFFFFF"/>
              <w:jc w:val="left"/>
              <w:rPr>
                <w:rFonts w:ascii="仿宋" w:hAnsi="仿宋" w:eastAsia="仿宋" w:cs="宋体"/>
                <w:kern w:val="0"/>
                <w:sz w:val="24"/>
              </w:rPr>
            </w:pPr>
            <w:r>
              <w:rPr>
                <w:rFonts w:hint="eastAsia" w:ascii="仿宋" w:hAnsi="仿宋" w:eastAsia="仿宋" w:cs="宋体"/>
                <w:kern w:val="0"/>
                <w:sz w:val="24"/>
              </w:rPr>
              <w:t>1.多易贷</w:t>
            </w:r>
          </w:p>
          <w:p>
            <w:pPr>
              <w:widowControl/>
              <w:shd w:val="clear" w:color="auto" w:fill="FFFFFF"/>
              <w:jc w:val="left"/>
              <w:rPr>
                <w:rFonts w:ascii="仿宋" w:hAnsi="仿宋" w:eastAsia="仿宋" w:cs="宋体"/>
                <w:kern w:val="0"/>
                <w:sz w:val="24"/>
              </w:rPr>
            </w:pPr>
            <w:r>
              <w:rPr>
                <w:rFonts w:hint="eastAsia" w:ascii="仿宋" w:hAnsi="仿宋" w:eastAsia="仿宋" w:cs="宋体"/>
                <w:kern w:val="0"/>
                <w:sz w:val="24"/>
              </w:rPr>
              <w:t>2.房抵快贷</w:t>
            </w:r>
          </w:p>
          <w:p>
            <w:pPr>
              <w:widowControl/>
              <w:shd w:val="clear" w:color="auto" w:fill="FFFFFF"/>
              <w:jc w:val="left"/>
              <w:rPr>
                <w:rFonts w:ascii="仿宋" w:hAnsi="仿宋" w:eastAsia="仿宋" w:cs="宋体"/>
                <w:kern w:val="0"/>
                <w:sz w:val="24"/>
              </w:rPr>
            </w:pPr>
            <w:r>
              <w:rPr>
                <w:rFonts w:hint="eastAsia" w:ascii="仿宋" w:hAnsi="仿宋" w:eastAsia="仿宋" w:cs="宋体"/>
                <w:kern w:val="0"/>
                <w:sz w:val="24"/>
              </w:rPr>
              <w:t>3.保险贷</w:t>
            </w:r>
          </w:p>
          <w:p>
            <w:pPr>
              <w:widowControl/>
              <w:shd w:val="clear" w:color="auto" w:fill="FFFFFF"/>
              <w:jc w:val="left"/>
              <w:rPr>
                <w:rFonts w:ascii="仿宋" w:hAnsi="仿宋" w:eastAsia="仿宋" w:cs="宋体"/>
                <w:kern w:val="0"/>
                <w:sz w:val="24"/>
              </w:rPr>
            </w:pPr>
            <w:r>
              <w:rPr>
                <w:rFonts w:hint="eastAsia" w:ascii="仿宋" w:hAnsi="仿宋" w:eastAsia="仿宋" w:cs="宋体"/>
                <w:kern w:val="0"/>
                <w:sz w:val="24"/>
              </w:rPr>
              <w:t>4.订单贷</w:t>
            </w:r>
          </w:p>
          <w:p>
            <w:pPr>
              <w:widowControl/>
              <w:shd w:val="clear" w:color="auto" w:fill="FFFFFF"/>
              <w:jc w:val="left"/>
              <w:rPr>
                <w:rFonts w:ascii="仿宋" w:hAnsi="仿宋" w:eastAsia="仿宋" w:cs="宋体"/>
                <w:kern w:val="0"/>
                <w:sz w:val="24"/>
              </w:rPr>
            </w:pPr>
            <w:r>
              <w:rPr>
                <w:rFonts w:hint="eastAsia" w:ascii="仿宋" w:hAnsi="仿宋" w:eastAsia="仿宋" w:cs="宋体"/>
                <w:kern w:val="0"/>
                <w:sz w:val="24"/>
              </w:rPr>
              <w:t>5.三板贷</w:t>
            </w:r>
          </w:p>
          <w:p>
            <w:pPr>
              <w:widowControl/>
              <w:shd w:val="clear" w:color="auto" w:fill="FFFFFF"/>
              <w:jc w:val="left"/>
              <w:rPr>
                <w:rFonts w:ascii="仿宋" w:hAnsi="仿宋" w:eastAsia="仿宋"/>
                <w:sz w:val="24"/>
                <w:shd w:val="clear" w:color="auto" w:fill="FFFFFF"/>
              </w:rPr>
            </w:pPr>
            <w:r>
              <w:rPr>
                <w:rFonts w:hint="eastAsia" w:ascii="仿宋" w:hAnsi="仿宋" w:eastAsia="仿宋" w:cs="宋体"/>
                <w:kern w:val="0"/>
                <w:sz w:val="24"/>
              </w:rPr>
              <w:t>6.成长贷</w:t>
            </w:r>
          </w:p>
        </w:tc>
      </w:tr>
    </w:tbl>
    <w:p>
      <w:pPr>
        <w:spacing w:line="360" w:lineRule="auto"/>
        <w:ind w:firstLine="640" w:firstLineChars="200"/>
        <w:rPr>
          <w:rFonts w:ascii="仿宋" w:hAnsi="仿宋" w:eastAsia="仿宋" w:cs="仿宋"/>
          <w:sz w:val="32"/>
          <w:szCs w:val="32"/>
        </w:rPr>
      </w:pPr>
      <w:r>
        <w:rPr>
          <w:rFonts w:hint="eastAsia" w:ascii="仿宋" w:hAnsi="仿宋" w:eastAsia="仿宋" w:cs="宋体"/>
          <w:kern w:val="0"/>
          <w:sz w:val="32"/>
          <w:szCs w:val="32"/>
        </w:rPr>
        <w:t>本标准给出了面向科技型中小企业提供的科技金融服务的内容，包括开设金融课程、申报专项资金、搭建服务平台、联合沙龙、科技金融咨询、质押/抵押融资贷款等。其中，科技成果贷款风险补偿是依据</w:t>
      </w:r>
      <w:r>
        <w:rPr>
          <w:rFonts w:hint="eastAsia" w:ascii="仿宋" w:hAnsi="仿宋" w:eastAsia="仿宋" w:cs="仿宋"/>
          <w:sz w:val="32"/>
          <w:szCs w:val="32"/>
        </w:rPr>
        <w:t>《山东省科技成果转化贷款风险补偿操作指南》《山东省科技成果转化贷款贴息实施细则（暂行）》等文件针对已认定的科技型中小企业特有的科技金融服务。创业投资子基金是依据《国家科技成果转化引导基金管理暂行办法》是针对科技型中小企业提供的科技金融服务。</w:t>
      </w:r>
    </w:p>
    <w:p>
      <w:pPr>
        <w:spacing w:line="360" w:lineRule="auto"/>
        <w:ind w:firstLine="640" w:firstLineChars="200"/>
        <w:rPr>
          <w:rFonts w:ascii="仿宋" w:hAnsi="仿宋" w:eastAsia="仿宋" w:cs="宋体"/>
          <w:kern w:val="0"/>
          <w:sz w:val="32"/>
          <w:szCs w:val="32"/>
        </w:rPr>
      </w:pPr>
      <w:r>
        <w:rPr>
          <w:rFonts w:hint="eastAsia" w:ascii="仿宋" w:hAnsi="仿宋" w:eastAsia="仿宋" w:cs="宋体"/>
          <w:kern w:val="0"/>
          <w:sz w:val="32"/>
          <w:szCs w:val="32"/>
        </w:rPr>
        <w:t>（6）人才引进及培养服务</w:t>
      </w:r>
    </w:p>
    <w:p>
      <w:pPr>
        <w:spacing w:line="360" w:lineRule="auto"/>
        <w:ind w:firstLine="640" w:firstLineChars="200"/>
        <w:rPr>
          <w:rFonts w:ascii="仿宋" w:hAnsi="仿宋" w:eastAsia="仿宋" w:cs="宋体"/>
          <w:kern w:val="0"/>
          <w:sz w:val="32"/>
          <w:szCs w:val="32"/>
        </w:rPr>
      </w:pPr>
      <w:r>
        <w:rPr>
          <w:rFonts w:hint="eastAsia" w:ascii="仿宋" w:hAnsi="仿宋" w:eastAsia="仿宋" w:cs="宋体"/>
          <w:kern w:val="0"/>
          <w:sz w:val="32"/>
          <w:szCs w:val="32"/>
        </w:rPr>
        <w:t>聚焦新时代新发展，科技仍然是第一生产力，是强国兴国的重要支撑，而要想抓住“科技创新”总体发展的“牛鼻子”，则应以人为本，尊重知识、尊重人才，从全球视野去推动人才培养，筑牢科技发展与创新的人才库。经过调研发现，在科技型中小企业的发展过程中，人才短缺是不少企业面临的主要问题。</w:t>
      </w:r>
    </w:p>
    <w:p>
      <w:pPr>
        <w:spacing w:line="360" w:lineRule="auto"/>
        <w:ind w:firstLine="640" w:firstLineChars="200"/>
        <w:rPr>
          <w:rFonts w:ascii="仿宋" w:hAnsi="仿宋" w:eastAsia="仿宋" w:cs="宋体"/>
          <w:kern w:val="0"/>
          <w:sz w:val="32"/>
          <w:szCs w:val="32"/>
        </w:rPr>
      </w:pPr>
      <w:r>
        <w:rPr>
          <w:rFonts w:hint="eastAsia" w:ascii="仿宋" w:hAnsi="仿宋" w:eastAsia="仿宋" w:cs="宋体"/>
          <w:kern w:val="0"/>
          <w:sz w:val="32"/>
          <w:szCs w:val="32"/>
        </w:rPr>
        <w:t>为了解决科技型中小企业人才短缺的现实问题，一方面作为服务机构应为其人才的需求提供支撑，包括建立高端科技智库、搭建人才交互平台和高级人才寻访等服务。与此同时，为了保证人才的可持续性，除了拿来主义以外，还应对人才进行挖掘和开发，根据企业需求通过校企联合招生、联合培养试点、建立科创实习基地、研究生社会实践基地、定向委托以及在职培训等各种形式培养科技型中小企业的人才。此外，可以聘请专家和相关人员进行培训授课，为科技型中小企业提供交流的平台，助推企业人才引进及培养。</w:t>
      </w:r>
    </w:p>
    <w:p>
      <w:pPr>
        <w:spacing w:line="360" w:lineRule="auto"/>
        <w:ind w:firstLine="640" w:firstLineChars="200"/>
        <w:rPr>
          <w:rFonts w:ascii="仿宋" w:hAnsi="仿宋" w:eastAsia="仿宋" w:cs="宋体"/>
          <w:kern w:val="0"/>
          <w:sz w:val="32"/>
          <w:szCs w:val="32"/>
        </w:rPr>
      </w:pPr>
      <w:r>
        <w:rPr>
          <w:rFonts w:ascii="仿宋" w:hAnsi="仿宋" w:eastAsia="仿宋" w:cs="宋体"/>
          <w:kern w:val="0"/>
          <w:sz w:val="32"/>
          <w:szCs w:val="32"/>
        </w:rPr>
        <w:t>6</w:t>
      </w:r>
      <w:r>
        <w:rPr>
          <w:rFonts w:hint="eastAsia" w:ascii="仿宋" w:hAnsi="仿宋" w:eastAsia="仿宋" w:cs="宋体"/>
          <w:kern w:val="0"/>
          <w:sz w:val="32"/>
          <w:szCs w:val="32"/>
        </w:rPr>
        <w:t>.服务流程</w:t>
      </w:r>
    </w:p>
    <w:p>
      <w:pPr>
        <w:spacing w:line="360" w:lineRule="auto"/>
        <w:ind w:firstLine="640" w:firstLineChars="200"/>
        <w:rPr>
          <w:rFonts w:ascii="仿宋" w:hAnsi="仿宋" w:eastAsia="仿宋" w:cs="宋体"/>
          <w:kern w:val="0"/>
          <w:sz w:val="32"/>
          <w:szCs w:val="32"/>
        </w:rPr>
      </w:pPr>
      <w:r>
        <w:rPr>
          <w:rFonts w:hint="eastAsia" w:ascii="仿宋" w:hAnsi="仿宋" w:eastAsia="仿宋" w:cs="宋体"/>
          <w:kern w:val="0"/>
          <w:sz w:val="32"/>
          <w:szCs w:val="32"/>
        </w:rPr>
        <w:t>为了确保面向科技型中小企业提供科技创新服务具有可操作性，本章给出了从前期接洽到中期实施，以及服务完成后全流程需要开展的工作内容和要求，以保证提供的服务能够有针对性地解决科技型中小企业存在的问题和提出的需求，并不断提升服务质量和能力。</w:t>
      </w:r>
    </w:p>
    <w:p>
      <w:pPr>
        <w:spacing w:line="360" w:lineRule="auto"/>
        <w:ind w:firstLine="640" w:firstLineChars="200"/>
        <w:rPr>
          <w:rFonts w:ascii="仿宋" w:hAnsi="仿宋" w:eastAsia="仿宋" w:cs="宋体"/>
          <w:kern w:val="0"/>
          <w:sz w:val="32"/>
          <w:szCs w:val="32"/>
        </w:rPr>
      </w:pPr>
      <w:r>
        <w:rPr>
          <w:rFonts w:hint="eastAsia" w:ascii="仿宋" w:hAnsi="仿宋" w:eastAsia="仿宋" w:cs="宋体"/>
          <w:kern w:val="0"/>
          <w:sz w:val="32"/>
          <w:szCs w:val="32"/>
        </w:rPr>
        <w:t>（1）委托与受理</w:t>
      </w:r>
    </w:p>
    <w:p>
      <w:pPr>
        <w:spacing w:line="360" w:lineRule="auto"/>
        <w:ind w:firstLine="640" w:firstLineChars="200"/>
        <w:rPr>
          <w:rFonts w:ascii="仿宋" w:hAnsi="仿宋" w:eastAsia="仿宋" w:cs="宋体"/>
          <w:kern w:val="0"/>
          <w:sz w:val="32"/>
          <w:szCs w:val="32"/>
        </w:rPr>
      </w:pPr>
      <w:r>
        <w:rPr>
          <w:rFonts w:hint="eastAsia" w:ascii="仿宋" w:hAnsi="仿宋" w:eastAsia="仿宋" w:cs="宋体"/>
          <w:kern w:val="0"/>
          <w:sz w:val="32"/>
          <w:szCs w:val="32"/>
        </w:rPr>
        <w:t>由于科技型中小企业对服务内容和需求千差万别，服务机构应结合其实际精准地提供定制服务，因此，要求服务机构在委托与受理环节要充分掌握科技型中小企业现状、存在的问题，通过审核其提供的材料、进行实地考察等方式充分了解情况。若涉及的服务内容较多且相对综合，建议服务机构与接受服务的科技型中小企业签订服务协议，以明确双方的权利义务等，因此，本标准对服务协议的内容给出了建议。</w:t>
      </w:r>
    </w:p>
    <w:p>
      <w:pPr>
        <w:spacing w:line="360" w:lineRule="auto"/>
        <w:ind w:firstLine="640" w:firstLineChars="200"/>
        <w:rPr>
          <w:rFonts w:ascii="仿宋" w:hAnsi="仿宋" w:eastAsia="仿宋" w:cs="宋体"/>
          <w:kern w:val="0"/>
          <w:sz w:val="32"/>
          <w:szCs w:val="32"/>
        </w:rPr>
      </w:pPr>
      <w:r>
        <w:rPr>
          <w:rFonts w:hint="eastAsia" w:ascii="仿宋" w:hAnsi="仿宋" w:eastAsia="仿宋" w:cs="宋体"/>
          <w:kern w:val="0"/>
          <w:sz w:val="32"/>
          <w:szCs w:val="32"/>
        </w:rPr>
        <w:t>（2）服务实施</w:t>
      </w:r>
    </w:p>
    <w:p>
      <w:pPr>
        <w:spacing w:line="360" w:lineRule="auto"/>
        <w:ind w:firstLine="640" w:firstLineChars="200"/>
        <w:rPr>
          <w:rFonts w:ascii="仿宋" w:hAnsi="仿宋" w:eastAsia="仿宋" w:cs="宋体"/>
          <w:kern w:val="0"/>
          <w:sz w:val="32"/>
          <w:szCs w:val="32"/>
        </w:rPr>
      </w:pPr>
      <w:r>
        <w:rPr>
          <w:rFonts w:hint="eastAsia" w:ascii="仿宋" w:hAnsi="仿宋" w:eastAsia="仿宋" w:cs="宋体"/>
          <w:kern w:val="0"/>
          <w:sz w:val="32"/>
          <w:szCs w:val="32"/>
        </w:rPr>
        <w:t>服务实施整个服务提供过程中最重要的环节，在进行初步接洽并达成服务合作后，应对科技型中小企业进行详细的调研，量身打造服务方案，并按照服务方案组织实施。</w:t>
      </w:r>
    </w:p>
    <w:p>
      <w:pPr>
        <w:spacing w:line="360" w:lineRule="auto"/>
        <w:ind w:firstLine="640" w:firstLineChars="200"/>
        <w:rPr>
          <w:rFonts w:ascii="仿宋" w:hAnsi="仿宋" w:eastAsia="仿宋" w:cs="宋体"/>
          <w:kern w:val="0"/>
          <w:sz w:val="32"/>
          <w:szCs w:val="32"/>
        </w:rPr>
      </w:pPr>
      <w:r>
        <w:rPr>
          <w:rFonts w:hint="eastAsia" w:ascii="仿宋" w:hAnsi="仿宋" w:eastAsia="仿宋" w:cs="宋体"/>
          <w:kern w:val="0"/>
          <w:sz w:val="32"/>
          <w:szCs w:val="32"/>
        </w:rPr>
        <w:t>在服务提供过程中，应及时与服务对象进行沟通交流，通报服务实施进展情况及阶段性成果等。服务对象难免会对服务内容进行调整，确需进行调整的，应书面形成材料并经双方确认，避免后续发生不必要的纠纷。</w:t>
      </w:r>
    </w:p>
    <w:p>
      <w:pPr>
        <w:spacing w:line="360" w:lineRule="auto"/>
        <w:ind w:firstLine="640" w:firstLineChars="200"/>
        <w:rPr>
          <w:rFonts w:ascii="仿宋" w:hAnsi="仿宋" w:eastAsia="仿宋" w:cs="宋体"/>
          <w:kern w:val="0"/>
          <w:sz w:val="32"/>
          <w:szCs w:val="32"/>
        </w:rPr>
      </w:pPr>
      <w:r>
        <w:rPr>
          <w:rFonts w:hint="eastAsia" w:ascii="仿宋" w:hAnsi="仿宋" w:eastAsia="仿宋" w:cs="宋体"/>
          <w:kern w:val="0"/>
          <w:sz w:val="32"/>
          <w:szCs w:val="32"/>
        </w:rPr>
        <w:t>服务实施中还需要对阶段性成果进行符合性审查和评价，避免服务的内容脱离服务对象的需求。</w:t>
      </w:r>
    </w:p>
    <w:p>
      <w:pPr>
        <w:spacing w:line="360" w:lineRule="auto"/>
        <w:ind w:firstLine="640" w:firstLineChars="200"/>
        <w:rPr>
          <w:rFonts w:ascii="仿宋" w:hAnsi="仿宋" w:eastAsia="仿宋" w:cs="宋体"/>
          <w:kern w:val="0"/>
          <w:sz w:val="32"/>
          <w:szCs w:val="32"/>
        </w:rPr>
      </w:pPr>
      <w:r>
        <w:rPr>
          <w:rFonts w:hint="eastAsia" w:ascii="仿宋" w:hAnsi="仿宋" w:eastAsia="仿宋" w:cs="宋体"/>
          <w:kern w:val="0"/>
          <w:sz w:val="32"/>
          <w:szCs w:val="32"/>
        </w:rPr>
        <w:t>（3）交付及交付后服务</w:t>
      </w:r>
    </w:p>
    <w:p>
      <w:pPr>
        <w:spacing w:line="360" w:lineRule="auto"/>
        <w:ind w:firstLine="640" w:firstLineChars="200"/>
        <w:rPr>
          <w:rFonts w:ascii="仿宋" w:hAnsi="仿宋" w:eastAsia="仿宋" w:cs="宋体"/>
          <w:kern w:val="0"/>
          <w:sz w:val="32"/>
          <w:szCs w:val="32"/>
        </w:rPr>
      </w:pPr>
      <w:r>
        <w:rPr>
          <w:rFonts w:hint="eastAsia" w:ascii="仿宋" w:hAnsi="仿宋" w:eastAsia="仿宋" w:cs="宋体"/>
          <w:kern w:val="0"/>
          <w:sz w:val="32"/>
          <w:szCs w:val="32"/>
        </w:rPr>
        <w:t>作为服务机构，在完成服务后并不意味着结束，而是另一个环节的开始，即一方面通过了解服务对象对此次服务的意见和建议，不断优化和完善服务内容、服务流程以及服务过程材料等，一方面为其提供后续指导，确保后期持续性地为其提供科技创新服务。</w:t>
      </w:r>
    </w:p>
    <w:p>
      <w:pPr>
        <w:spacing w:line="360" w:lineRule="auto"/>
        <w:ind w:firstLine="640" w:firstLineChars="200"/>
        <w:rPr>
          <w:rFonts w:ascii="楷体" w:hAnsi="楷体" w:eastAsia="楷体"/>
          <w:sz w:val="32"/>
          <w:szCs w:val="32"/>
        </w:rPr>
      </w:pPr>
      <w:r>
        <w:rPr>
          <w:rFonts w:hint="eastAsia" w:ascii="楷体" w:hAnsi="楷体" w:eastAsia="楷体"/>
          <w:sz w:val="32"/>
          <w:szCs w:val="32"/>
        </w:rPr>
        <w:t>（三）确定依据</w:t>
      </w:r>
    </w:p>
    <w:p>
      <w:pPr>
        <w:ind w:firstLine="640" w:firstLineChars="200"/>
        <w:rPr>
          <w:rFonts w:ascii="仿宋" w:hAnsi="仿宋" w:eastAsia="仿宋"/>
          <w:sz w:val="32"/>
          <w:szCs w:val="32"/>
        </w:rPr>
      </w:pPr>
      <w:r>
        <w:rPr>
          <w:rFonts w:hint="eastAsia" w:ascii="仿宋" w:hAnsi="仿宋" w:eastAsia="仿宋"/>
          <w:sz w:val="32"/>
          <w:szCs w:val="32"/>
        </w:rPr>
        <w:t>本标准起草过程中，内容的确定主要来源于对科技型中小企业调研过程中掌握的实际服务需求。附件给出了调研的内容和反馈情况。</w:t>
      </w:r>
    </w:p>
    <w:p>
      <w:pPr>
        <w:ind w:firstLine="640" w:firstLineChars="200"/>
        <w:rPr>
          <w:rFonts w:ascii="仿宋" w:hAnsi="仿宋" w:eastAsia="仿宋"/>
          <w:sz w:val="32"/>
          <w:szCs w:val="32"/>
        </w:rPr>
      </w:pPr>
      <w:r>
        <w:rPr>
          <w:rFonts w:hint="eastAsia" w:ascii="仿宋" w:hAnsi="仿宋" w:eastAsia="仿宋"/>
          <w:sz w:val="32"/>
          <w:szCs w:val="32"/>
        </w:rPr>
        <w:t>同时，参考了国家及我省科技、</w:t>
      </w:r>
      <w:r>
        <w:rPr>
          <w:rFonts w:hint="eastAsia" w:ascii="仿宋" w:hAnsi="仿宋" w:eastAsia="仿宋" w:cs="仿宋"/>
          <w:sz w:val="32"/>
          <w:szCs w:val="32"/>
        </w:rPr>
        <w:t>财政、工信、发改、市场监管、人民银行、国税、大数据、人社、教育、农业、海洋、自然资源等行业主管部门出台的针对科技型中小企业制定的</w:t>
      </w:r>
      <w:r>
        <w:rPr>
          <w:rFonts w:hint="eastAsia" w:ascii="仿宋" w:hAnsi="仿宋" w:eastAsia="仿宋"/>
          <w:sz w:val="32"/>
          <w:szCs w:val="32"/>
        </w:rPr>
        <w:t>科技创新服务相关的政策文件。以下列出了部分文件：</w:t>
      </w:r>
    </w:p>
    <w:p>
      <w:pPr>
        <w:ind w:firstLine="640" w:firstLineChars="200"/>
        <w:rPr>
          <w:rFonts w:ascii="仿宋" w:hAnsi="仿宋" w:eastAsia="仿宋"/>
          <w:sz w:val="32"/>
          <w:szCs w:val="32"/>
        </w:rPr>
      </w:pPr>
      <w:r>
        <w:rPr>
          <w:rFonts w:hint="eastAsia" w:ascii="仿宋" w:hAnsi="仿宋" w:eastAsia="仿宋"/>
          <w:sz w:val="32"/>
          <w:szCs w:val="32"/>
        </w:rPr>
        <w:t>——《国务院关于强化实施创新驱动发展战略进一步推进大众创业万众创新深入发展的意见》；</w:t>
      </w:r>
    </w:p>
    <w:p>
      <w:pPr>
        <w:ind w:firstLine="640" w:firstLineChars="200"/>
        <w:rPr>
          <w:rFonts w:ascii="仿宋" w:hAnsi="仿宋" w:eastAsia="仿宋"/>
          <w:sz w:val="32"/>
          <w:szCs w:val="32"/>
        </w:rPr>
      </w:pPr>
      <w:r>
        <w:rPr>
          <w:rFonts w:hint="eastAsia" w:ascii="仿宋" w:hAnsi="仿宋" w:eastAsia="仿宋"/>
          <w:sz w:val="32"/>
          <w:szCs w:val="32"/>
        </w:rPr>
        <w:t>——《</w:t>
      </w:r>
      <w:r>
        <w:rPr>
          <w:rFonts w:hint="eastAsia" w:ascii="仿宋" w:hAnsi="仿宋" w:eastAsia="仿宋"/>
          <w:iCs/>
          <w:sz w:val="32"/>
          <w:szCs w:val="32"/>
        </w:rPr>
        <w:t>国务院关于推动创新创业高质量发展打造“双创”升级版的意见</w:t>
      </w:r>
      <w:r>
        <w:rPr>
          <w:rFonts w:hint="eastAsia" w:ascii="仿宋" w:hAnsi="仿宋" w:eastAsia="仿宋"/>
          <w:sz w:val="32"/>
          <w:szCs w:val="32"/>
        </w:rPr>
        <w:t>》；</w:t>
      </w:r>
    </w:p>
    <w:p>
      <w:pPr>
        <w:ind w:firstLine="640" w:firstLineChars="200"/>
        <w:rPr>
          <w:rFonts w:ascii="仿宋" w:hAnsi="仿宋" w:eastAsia="仿宋"/>
          <w:sz w:val="32"/>
          <w:szCs w:val="32"/>
        </w:rPr>
      </w:pPr>
      <w:r>
        <w:rPr>
          <w:rFonts w:hint="eastAsia" w:ascii="仿宋" w:hAnsi="仿宋" w:eastAsia="仿宋"/>
          <w:sz w:val="32"/>
          <w:szCs w:val="32"/>
        </w:rPr>
        <w:t>——《中华人民共和国国民经济和社会发展第十四个五年规划和2035年远景目标纲要》；</w:t>
      </w:r>
    </w:p>
    <w:p>
      <w:pPr>
        <w:ind w:firstLine="640" w:firstLineChars="200"/>
        <w:rPr>
          <w:rFonts w:ascii="仿宋" w:hAnsi="仿宋" w:eastAsia="仿宋"/>
          <w:sz w:val="32"/>
          <w:szCs w:val="32"/>
        </w:rPr>
      </w:pPr>
      <w:r>
        <w:rPr>
          <w:rFonts w:hint="eastAsia" w:ascii="仿宋" w:hAnsi="仿宋" w:eastAsia="仿宋"/>
          <w:sz w:val="32"/>
          <w:szCs w:val="32"/>
        </w:rPr>
        <w:t>——《全国深化“放管服”改革着力培育和激发市场主体活力电视电话会议重点任务分工方案》；</w:t>
      </w:r>
    </w:p>
    <w:p>
      <w:pPr>
        <w:ind w:firstLine="640" w:firstLineChars="200"/>
        <w:rPr>
          <w:rFonts w:ascii="仿宋" w:hAnsi="仿宋" w:eastAsia="仿宋"/>
          <w:sz w:val="32"/>
          <w:szCs w:val="32"/>
        </w:rPr>
      </w:pPr>
      <w:r>
        <w:rPr>
          <w:rFonts w:hint="eastAsia" w:ascii="仿宋" w:hAnsi="仿宋" w:eastAsia="仿宋"/>
          <w:sz w:val="32"/>
          <w:szCs w:val="32"/>
        </w:rPr>
        <w:t>——《科学技术部、财政部关于科技型中小企业技术创新基金的暂行规定的通知》；</w:t>
      </w:r>
    </w:p>
    <w:p>
      <w:pPr>
        <w:ind w:firstLine="640" w:firstLineChars="200"/>
        <w:rPr>
          <w:rFonts w:ascii="仿宋" w:hAnsi="仿宋" w:eastAsia="仿宋"/>
          <w:sz w:val="32"/>
          <w:szCs w:val="32"/>
        </w:rPr>
      </w:pPr>
      <w:r>
        <w:rPr>
          <w:rFonts w:hint="eastAsia" w:ascii="仿宋" w:hAnsi="仿宋" w:eastAsia="仿宋"/>
          <w:sz w:val="32"/>
          <w:szCs w:val="32"/>
        </w:rPr>
        <w:t>——《科技型中小企业技术创新基金财务管理暂行办法》；</w:t>
      </w:r>
    </w:p>
    <w:p>
      <w:pPr>
        <w:ind w:firstLine="640" w:firstLineChars="200"/>
        <w:rPr>
          <w:rFonts w:ascii="仿宋" w:hAnsi="仿宋" w:eastAsia="仿宋"/>
          <w:sz w:val="32"/>
          <w:szCs w:val="32"/>
        </w:rPr>
      </w:pPr>
      <w:r>
        <w:rPr>
          <w:rFonts w:hint="eastAsia" w:ascii="仿宋" w:hAnsi="仿宋" w:eastAsia="仿宋"/>
          <w:sz w:val="32"/>
          <w:szCs w:val="32"/>
        </w:rPr>
        <w:t>——《科技型中小企业创业投资引导基金管理暂行办法》；</w:t>
      </w:r>
    </w:p>
    <w:p>
      <w:pPr>
        <w:ind w:firstLine="640" w:firstLineChars="200"/>
        <w:rPr>
          <w:rFonts w:ascii="仿宋" w:hAnsi="仿宋" w:eastAsia="仿宋"/>
          <w:sz w:val="32"/>
          <w:szCs w:val="32"/>
        </w:rPr>
      </w:pPr>
      <w:r>
        <w:rPr>
          <w:rFonts w:hint="eastAsia" w:ascii="仿宋" w:hAnsi="仿宋" w:eastAsia="仿宋"/>
          <w:sz w:val="32"/>
          <w:szCs w:val="32"/>
        </w:rPr>
        <w:t>——《关于提高科技型中小企业研究开发费用税前加计扣除比例的通知》；</w:t>
      </w:r>
    </w:p>
    <w:p>
      <w:pPr>
        <w:ind w:firstLine="640" w:firstLineChars="200"/>
        <w:rPr>
          <w:rFonts w:ascii="仿宋" w:hAnsi="仿宋" w:eastAsia="仿宋"/>
          <w:sz w:val="32"/>
          <w:szCs w:val="32"/>
        </w:rPr>
      </w:pPr>
      <w:r>
        <w:rPr>
          <w:rFonts w:hint="eastAsia" w:ascii="仿宋" w:hAnsi="仿宋" w:eastAsia="仿宋"/>
          <w:sz w:val="32"/>
          <w:szCs w:val="32"/>
        </w:rPr>
        <w:t>——《关于延长高新技术企业和科技型中小企业亏损结转年限的通知》；</w:t>
      </w:r>
    </w:p>
    <w:p>
      <w:pPr>
        <w:ind w:firstLine="640" w:firstLineChars="200"/>
        <w:rPr>
          <w:rFonts w:ascii="仿宋" w:hAnsi="仿宋" w:eastAsia="仿宋"/>
          <w:sz w:val="32"/>
          <w:szCs w:val="32"/>
        </w:rPr>
      </w:pPr>
      <w:r>
        <w:rPr>
          <w:rFonts w:hint="eastAsia" w:ascii="仿宋" w:hAnsi="仿宋" w:eastAsia="仿宋"/>
          <w:sz w:val="32"/>
          <w:szCs w:val="32"/>
        </w:rPr>
        <w:t>——《科技型中小企业创业投资引导基金管理暂行办法》；</w:t>
      </w:r>
    </w:p>
    <w:p>
      <w:pPr>
        <w:ind w:firstLine="640" w:firstLineChars="200"/>
        <w:rPr>
          <w:rFonts w:ascii="仿宋" w:hAnsi="仿宋" w:eastAsia="仿宋"/>
          <w:sz w:val="32"/>
          <w:szCs w:val="32"/>
        </w:rPr>
      </w:pPr>
      <w:r>
        <w:rPr>
          <w:rFonts w:hint="eastAsia" w:ascii="仿宋" w:hAnsi="仿宋" w:eastAsia="仿宋"/>
          <w:sz w:val="32"/>
          <w:szCs w:val="32"/>
        </w:rPr>
        <w:t>——《</w:t>
      </w:r>
      <w:r>
        <w:rPr>
          <w:rFonts w:hint="eastAsia" w:ascii="仿宋" w:hAnsi="仿宋" w:eastAsia="仿宋"/>
          <w:bCs/>
          <w:sz w:val="32"/>
          <w:szCs w:val="32"/>
        </w:rPr>
        <w:t>关于新时期支持科技型中小企业加快创新发展的若干政策措施</w:t>
      </w:r>
      <w:r>
        <w:rPr>
          <w:rFonts w:hint="eastAsia" w:ascii="仿宋" w:hAnsi="仿宋" w:eastAsia="仿宋"/>
          <w:sz w:val="32"/>
          <w:szCs w:val="32"/>
        </w:rPr>
        <w:t>》；</w:t>
      </w:r>
    </w:p>
    <w:p>
      <w:pPr>
        <w:ind w:firstLine="640" w:firstLineChars="200"/>
        <w:rPr>
          <w:rFonts w:ascii="仿宋" w:hAnsi="仿宋" w:eastAsia="仿宋"/>
          <w:sz w:val="32"/>
          <w:szCs w:val="32"/>
        </w:rPr>
      </w:pPr>
      <w:r>
        <w:rPr>
          <w:rFonts w:hint="eastAsia" w:ascii="仿宋" w:hAnsi="仿宋" w:eastAsia="仿宋"/>
          <w:sz w:val="32"/>
          <w:szCs w:val="32"/>
        </w:rPr>
        <w:t>——《关于推广“十三五”时期产业转型升级示范区典型经验做法的通知》；</w:t>
      </w:r>
    </w:p>
    <w:p>
      <w:pPr>
        <w:ind w:firstLine="640" w:firstLineChars="200"/>
        <w:rPr>
          <w:rFonts w:ascii="仿宋" w:hAnsi="仿宋" w:eastAsia="仿宋"/>
          <w:sz w:val="32"/>
          <w:szCs w:val="32"/>
        </w:rPr>
      </w:pPr>
      <w:r>
        <w:rPr>
          <w:rFonts w:hint="eastAsia" w:ascii="仿宋" w:hAnsi="仿宋" w:eastAsia="仿宋"/>
          <w:sz w:val="32"/>
          <w:szCs w:val="32"/>
        </w:rPr>
        <w:t>——《国家科技成果转化引导基金管理暂行办法》；</w:t>
      </w:r>
    </w:p>
    <w:p>
      <w:pPr>
        <w:ind w:firstLine="640" w:firstLineChars="200"/>
        <w:rPr>
          <w:rFonts w:ascii="仿宋" w:hAnsi="仿宋" w:eastAsia="仿宋"/>
          <w:sz w:val="32"/>
          <w:szCs w:val="32"/>
        </w:rPr>
      </w:pPr>
      <w:r>
        <w:rPr>
          <w:rFonts w:hint="eastAsia" w:ascii="仿宋" w:hAnsi="仿宋" w:eastAsia="仿宋"/>
          <w:sz w:val="32"/>
          <w:szCs w:val="32"/>
        </w:rPr>
        <w:t>——《关于促进中小企业健康发展的指导意见》；</w:t>
      </w:r>
    </w:p>
    <w:p>
      <w:pPr>
        <w:ind w:firstLine="640" w:firstLineChars="200"/>
        <w:rPr>
          <w:rFonts w:ascii="仿宋" w:hAnsi="仿宋" w:eastAsia="仿宋"/>
          <w:sz w:val="32"/>
          <w:szCs w:val="32"/>
        </w:rPr>
      </w:pPr>
      <w:r>
        <w:rPr>
          <w:rFonts w:hint="eastAsia" w:ascii="仿宋" w:hAnsi="仿宋" w:eastAsia="仿宋"/>
          <w:sz w:val="32"/>
          <w:szCs w:val="32"/>
        </w:rPr>
        <w:t>——《国务院办公厅关于进一步加大对中小企业纾困帮扶力度的通知》；</w:t>
      </w:r>
    </w:p>
    <w:p>
      <w:pPr>
        <w:ind w:firstLine="640" w:firstLineChars="200"/>
        <w:rPr>
          <w:rFonts w:ascii="仿宋" w:hAnsi="仿宋" w:eastAsia="仿宋"/>
          <w:sz w:val="32"/>
          <w:szCs w:val="32"/>
        </w:rPr>
      </w:pPr>
      <w:r>
        <w:rPr>
          <w:rFonts w:hint="eastAsia" w:ascii="仿宋" w:hAnsi="仿宋" w:eastAsia="仿宋"/>
          <w:sz w:val="32"/>
          <w:szCs w:val="32"/>
        </w:rPr>
        <w:t>——《科技部办公厅关于营造更好环境支持科技型中小企业研发的通知》；</w:t>
      </w:r>
    </w:p>
    <w:p>
      <w:pPr>
        <w:ind w:firstLine="640" w:firstLineChars="200"/>
        <w:rPr>
          <w:rFonts w:ascii="仿宋" w:hAnsi="仿宋" w:eastAsia="仿宋"/>
          <w:sz w:val="32"/>
          <w:szCs w:val="32"/>
        </w:rPr>
      </w:pPr>
      <w:r>
        <w:rPr>
          <w:rFonts w:hint="eastAsia" w:ascii="仿宋" w:hAnsi="仿宋" w:eastAsia="仿宋"/>
          <w:sz w:val="32"/>
          <w:szCs w:val="32"/>
        </w:rPr>
        <w:t>——《关于疫情防控期间进一步为各类科技企业提供便利化服务的通知》；</w:t>
      </w:r>
    </w:p>
    <w:p>
      <w:pPr>
        <w:ind w:firstLine="640" w:firstLineChars="200"/>
        <w:rPr>
          <w:rFonts w:ascii="仿宋" w:hAnsi="仿宋" w:eastAsia="仿宋"/>
          <w:sz w:val="32"/>
          <w:szCs w:val="32"/>
        </w:rPr>
      </w:pPr>
      <w:r>
        <w:rPr>
          <w:rFonts w:hint="eastAsia" w:ascii="仿宋" w:hAnsi="仿宋" w:eastAsia="仿宋"/>
          <w:sz w:val="32"/>
          <w:szCs w:val="32"/>
        </w:rPr>
        <w:t>——《山东省科技型企业梯次培育三年行动计划（2019-2021）》；</w:t>
      </w:r>
    </w:p>
    <w:p>
      <w:pPr>
        <w:ind w:firstLine="640" w:firstLineChars="200"/>
        <w:rPr>
          <w:rFonts w:ascii="仿宋" w:hAnsi="仿宋" w:eastAsia="仿宋"/>
          <w:sz w:val="32"/>
          <w:szCs w:val="32"/>
        </w:rPr>
      </w:pPr>
      <w:r>
        <w:rPr>
          <w:rFonts w:hint="eastAsia" w:ascii="仿宋" w:hAnsi="仿宋" w:eastAsia="仿宋"/>
          <w:sz w:val="32"/>
          <w:szCs w:val="32"/>
        </w:rPr>
        <w:t>——《山东省人民政府办公厅关于进一步促进科技成果转移转化的实施意见》；</w:t>
      </w:r>
    </w:p>
    <w:p>
      <w:pPr>
        <w:ind w:firstLine="640" w:firstLineChars="200"/>
        <w:rPr>
          <w:rFonts w:ascii="仿宋" w:hAnsi="仿宋" w:eastAsia="仿宋"/>
          <w:sz w:val="32"/>
          <w:szCs w:val="32"/>
        </w:rPr>
      </w:pPr>
      <w:r>
        <w:rPr>
          <w:rFonts w:hint="eastAsia" w:ascii="仿宋" w:hAnsi="仿宋" w:eastAsia="仿宋"/>
          <w:sz w:val="32"/>
          <w:szCs w:val="32"/>
        </w:rPr>
        <w:t>——《山东省科技成果转化贷款贴息实施细则（暂行）》；</w:t>
      </w:r>
    </w:p>
    <w:p>
      <w:pPr>
        <w:ind w:firstLine="640" w:firstLineChars="200"/>
        <w:rPr>
          <w:rFonts w:ascii="仿宋" w:hAnsi="仿宋" w:eastAsia="仿宋"/>
          <w:sz w:val="32"/>
          <w:szCs w:val="32"/>
        </w:rPr>
      </w:pPr>
      <w:r>
        <w:rPr>
          <w:rFonts w:hint="eastAsia" w:ascii="仿宋" w:hAnsi="仿宋" w:eastAsia="仿宋"/>
          <w:sz w:val="32"/>
          <w:szCs w:val="32"/>
        </w:rPr>
        <w:t>——《山东省科技成果转化贷款风险补偿操作指南》；</w:t>
      </w:r>
    </w:p>
    <w:p>
      <w:pPr>
        <w:ind w:firstLine="640" w:firstLineChars="200"/>
        <w:rPr>
          <w:rFonts w:ascii="仿宋" w:hAnsi="仿宋" w:eastAsia="仿宋"/>
          <w:sz w:val="32"/>
          <w:szCs w:val="32"/>
        </w:rPr>
      </w:pPr>
      <w:r>
        <w:rPr>
          <w:rFonts w:hint="eastAsia" w:ascii="仿宋" w:hAnsi="仿宋" w:eastAsia="仿宋"/>
          <w:sz w:val="32"/>
          <w:szCs w:val="32"/>
        </w:rPr>
        <w:t>——《关于加快培育发展制造业优质企业的实施意见》；</w:t>
      </w:r>
    </w:p>
    <w:p>
      <w:pPr>
        <w:ind w:firstLine="640" w:firstLineChars="200"/>
        <w:rPr>
          <w:rFonts w:ascii="仿宋" w:hAnsi="仿宋" w:eastAsia="仿宋"/>
          <w:sz w:val="32"/>
          <w:szCs w:val="32"/>
        </w:rPr>
      </w:pPr>
      <w:r>
        <w:rPr>
          <w:rFonts w:hint="eastAsia" w:ascii="仿宋" w:hAnsi="仿宋" w:eastAsia="仿宋"/>
          <w:sz w:val="32"/>
          <w:szCs w:val="32"/>
        </w:rPr>
        <w:t>——《关于科学支持新冠肺炎疫情防控 有效服务科技创新的若干措施》。</w:t>
      </w:r>
    </w:p>
    <w:p>
      <w:pPr>
        <w:ind w:firstLine="640" w:firstLineChars="200"/>
        <w:rPr>
          <w:rFonts w:ascii="仿宋" w:hAnsi="仿宋" w:eastAsia="仿宋"/>
          <w:sz w:val="32"/>
          <w:szCs w:val="32"/>
        </w:rPr>
      </w:pPr>
      <w:r>
        <w:rPr>
          <w:rFonts w:hint="eastAsia" w:ascii="仿宋" w:hAnsi="仿宋" w:eastAsia="仿宋"/>
          <w:sz w:val="32"/>
          <w:szCs w:val="32"/>
        </w:rPr>
        <w:t>此外，借鉴了国家和省内外相关标准，以及其他省、市、自治区等地的科技型中小企业创新服务经验和做法，通过与我省科技创新服务机构和部分科技型中小企业座谈，选取了适用于我省的部分内容作为参考。</w:t>
      </w:r>
    </w:p>
    <w:p>
      <w:pPr>
        <w:spacing w:line="360" w:lineRule="auto"/>
        <w:ind w:firstLine="640" w:firstLineChars="200"/>
        <w:rPr>
          <w:rFonts w:ascii="黑体" w:hAnsi="黑体" w:eastAsia="黑体"/>
          <w:sz w:val="32"/>
          <w:szCs w:val="32"/>
        </w:rPr>
      </w:pPr>
      <w:r>
        <w:rPr>
          <w:rFonts w:hint="eastAsia" w:ascii="黑体" w:hAnsi="黑体" w:eastAsia="黑体"/>
          <w:sz w:val="32"/>
          <w:szCs w:val="32"/>
        </w:rPr>
        <w:t>四、与现行相关法律、行政法规和其他标准的关系</w:t>
      </w:r>
    </w:p>
    <w:p>
      <w:pPr>
        <w:spacing w:line="360" w:lineRule="auto"/>
        <w:ind w:firstLine="640" w:firstLineChars="200"/>
        <w:rPr>
          <w:rFonts w:ascii="仿宋" w:hAnsi="仿宋" w:eastAsia="仿宋" w:cs="宋体"/>
          <w:kern w:val="0"/>
          <w:sz w:val="32"/>
          <w:szCs w:val="32"/>
        </w:rPr>
      </w:pPr>
      <w:r>
        <w:rPr>
          <w:rFonts w:ascii="仿宋" w:hAnsi="仿宋" w:eastAsia="仿宋" w:cs="宋体"/>
          <w:kern w:val="0"/>
          <w:sz w:val="32"/>
          <w:szCs w:val="32"/>
        </w:rPr>
        <w:t>本标准为推荐性标准，与现行</w:t>
      </w:r>
      <w:r>
        <w:rPr>
          <w:rFonts w:hint="eastAsia" w:ascii="仿宋" w:hAnsi="仿宋" w:eastAsia="仿宋" w:cs="宋体"/>
          <w:kern w:val="0"/>
          <w:sz w:val="32"/>
          <w:szCs w:val="32"/>
        </w:rPr>
        <w:t>法律、法规和强制性标准内容保持一致，引用的标准的最新版本适用于本标准。</w:t>
      </w:r>
    </w:p>
    <w:p>
      <w:pPr>
        <w:spacing w:line="360" w:lineRule="auto"/>
        <w:ind w:firstLine="640" w:firstLineChars="200"/>
        <w:rPr>
          <w:rFonts w:ascii="仿宋" w:hAnsi="仿宋" w:eastAsia="仿宋" w:cs="宋体"/>
          <w:kern w:val="0"/>
          <w:sz w:val="32"/>
          <w:szCs w:val="32"/>
        </w:rPr>
      </w:pPr>
      <w:r>
        <w:rPr>
          <w:rFonts w:ascii="仿宋" w:hAnsi="仿宋" w:eastAsia="仿宋" w:cs="宋体"/>
          <w:kern w:val="0"/>
          <w:sz w:val="32"/>
          <w:szCs w:val="32"/>
        </w:rPr>
        <w:t>国家标准</w:t>
      </w:r>
      <w:r>
        <w:rPr>
          <w:rFonts w:hint="eastAsia" w:ascii="仿宋" w:hAnsi="仿宋" w:eastAsia="仿宋" w:cs="宋体"/>
          <w:kern w:val="0"/>
          <w:sz w:val="32"/>
          <w:szCs w:val="32"/>
        </w:rPr>
        <w:t>《技术转移服务规范》（GB/T 34670-2017）从技术开发服务、技术转让服务、技术服务和技术咨询服务、技术评价服务、技术投融资服务、信息网络平台服务等方面对技术转移服务作出了要求，并适用于面向各种类型企业提供技术转移服务。而本标准侧重于面向科技型中小企业提供科技创新服务，因此在内容上若国家标准适用于科技型中小企业，我们作为参考，同时结合科技型中小企业现状和自身特点，补充了知识产权和人才引进与培养服务的内容，并将国家标准中内容按照目前服务机构的实际情况进行了重新组织，补充了科技型中小企业适用的内容，删除了其不适用的要求。</w:t>
      </w:r>
    </w:p>
    <w:p>
      <w:pPr>
        <w:spacing w:line="360" w:lineRule="auto"/>
        <w:ind w:firstLine="640" w:firstLineChars="200"/>
        <w:rPr>
          <w:rFonts w:ascii="仿宋" w:hAnsi="仿宋" w:eastAsia="仿宋" w:cs="宋体"/>
          <w:kern w:val="0"/>
          <w:sz w:val="32"/>
          <w:szCs w:val="32"/>
        </w:rPr>
      </w:pPr>
      <w:r>
        <w:rPr>
          <w:rFonts w:hint="eastAsia" w:ascii="仿宋" w:hAnsi="仿宋" w:eastAsia="仿宋" w:cs="宋体"/>
          <w:kern w:val="0"/>
          <w:sz w:val="32"/>
          <w:szCs w:val="32"/>
        </w:rPr>
        <w:t>《高级人才寻访服务规范》（GB/ 25124-2019）和《知识产权分析评议服务  服务规范》（GB/T 37286-2019）分别从高级人才寻访和知识产权分析评议对服务内容作出要求，属于本标准知识产权服务和人才引进与培养服务的部分内容，本标准实施时在涉及到该服务时，可参考上述国家标准。</w:t>
      </w:r>
    </w:p>
    <w:p>
      <w:pPr>
        <w:spacing w:line="360" w:lineRule="auto"/>
        <w:ind w:firstLine="640" w:firstLineChars="200"/>
        <w:rPr>
          <w:rFonts w:ascii="黑体" w:hAnsi="黑体" w:eastAsia="黑体"/>
          <w:sz w:val="32"/>
          <w:szCs w:val="32"/>
        </w:rPr>
      </w:pPr>
      <w:r>
        <w:rPr>
          <w:rFonts w:hint="eastAsia" w:ascii="黑体" w:hAnsi="黑体" w:eastAsia="黑体"/>
          <w:sz w:val="32"/>
          <w:szCs w:val="32"/>
        </w:rPr>
        <w:t>五、重大分歧意见的处理过程、处理意见及其依据</w:t>
      </w:r>
    </w:p>
    <w:p>
      <w:pPr>
        <w:spacing w:line="360" w:lineRule="auto"/>
        <w:ind w:firstLine="640" w:firstLineChars="200"/>
        <w:rPr>
          <w:rFonts w:ascii="仿宋" w:hAnsi="仿宋" w:eastAsia="仿宋" w:cs="宋体"/>
          <w:kern w:val="0"/>
          <w:sz w:val="32"/>
          <w:szCs w:val="32"/>
        </w:rPr>
      </w:pPr>
      <w:r>
        <w:rPr>
          <w:rFonts w:hint="eastAsia" w:ascii="仿宋" w:hAnsi="仿宋" w:eastAsia="仿宋" w:cs="宋体"/>
          <w:kern w:val="0"/>
          <w:sz w:val="32"/>
          <w:szCs w:val="32"/>
        </w:rPr>
        <w:t>无重大分歧意见。</w:t>
      </w:r>
    </w:p>
    <w:p>
      <w:pPr>
        <w:spacing w:line="360" w:lineRule="auto"/>
        <w:ind w:firstLine="640" w:firstLineChars="200"/>
        <w:rPr>
          <w:rFonts w:ascii="黑体" w:hAnsi="黑体" w:eastAsia="黑体"/>
          <w:sz w:val="32"/>
          <w:szCs w:val="32"/>
        </w:rPr>
      </w:pPr>
      <w:r>
        <w:rPr>
          <w:rFonts w:hint="eastAsia" w:ascii="黑体" w:hAnsi="黑体" w:eastAsia="黑体"/>
          <w:sz w:val="32"/>
          <w:szCs w:val="32"/>
        </w:rPr>
        <w:t>六、对地方标准自发布日期至实施日期之间的过渡期的建议</w:t>
      </w:r>
    </w:p>
    <w:p>
      <w:pPr>
        <w:spacing w:line="360" w:lineRule="auto"/>
        <w:ind w:firstLine="640" w:firstLineChars="200"/>
        <w:rPr>
          <w:rFonts w:ascii="仿宋" w:hAnsi="仿宋" w:eastAsia="仿宋" w:cs="宋体"/>
          <w:kern w:val="0"/>
          <w:sz w:val="32"/>
          <w:szCs w:val="32"/>
        </w:rPr>
      </w:pPr>
      <w:r>
        <w:rPr>
          <w:rFonts w:hint="eastAsia" w:ascii="仿宋" w:hAnsi="仿宋" w:eastAsia="仿宋" w:cs="宋体"/>
          <w:kern w:val="0"/>
          <w:sz w:val="32"/>
          <w:szCs w:val="32"/>
        </w:rPr>
        <w:t>建议过渡期是2个月。</w:t>
      </w:r>
    </w:p>
    <w:p>
      <w:pPr>
        <w:spacing w:line="360" w:lineRule="auto"/>
        <w:ind w:firstLine="640" w:firstLineChars="200"/>
        <w:rPr>
          <w:rFonts w:ascii="仿宋" w:hAnsi="仿宋" w:eastAsia="仿宋"/>
          <w:sz w:val="32"/>
          <w:szCs w:val="32"/>
        </w:rPr>
      </w:pPr>
      <w:r>
        <w:rPr>
          <w:rFonts w:hint="eastAsia" w:ascii="仿宋" w:hAnsi="仿宋" w:eastAsia="仿宋"/>
          <w:sz w:val="32"/>
          <w:szCs w:val="32"/>
        </w:rPr>
        <w:t>科技创新及其他行业主管部门、第三方科技类服务机构，以及高等院校、科研院所、社会团体、金融机构等</w:t>
      </w:r>
      <w:r>
        <w:rPr>
          <w:rFonts w:hint="eastAsia" w:ascii="仿宋" w:hAnsi="仿宋" w:eastAsia="仿宋" w:cs="宋体"/>
          <w:kern w:val="0"/>
          <w:sz w:val="32"/>
          <w:szCs w:val="32"/>
        </w:rPr>
        <w:t>是标准实施的主体，为确保其准确理解、掌握和执行标准，规范科技创新服务管理，提高科技创新服务质量和效率，标准发布后将向标准实施主体进行推广和宣贯，推动标准的落地实施。预计此项工作需要2个月的时间</w:t>
      </w:r>
      <w:r>
        <w:rPr>
          <w:rFonts w:hint="eastAsia" w:ascii="仿宋" w:hAnsi="仿宋" w:eastAsia="仿宋"/>
          <w:sz w:val="32"/>
          <w:szCs w:val="32"/>
        </w:rPr>
        <w:t>。</w:t>
      </w:r>
    </w:p>
    <w:p>
      <w:pPr>
        <w:spacing w:line="360" w:lineRule="auto"/>
        <w:ind w:firstLine="640" w:firstLineChars="200"/>
        <w:rPr>
          <w:rFonts w:ascii="黑体" w:hAnsi="黑体" w:eastAsia="黑体"/>
          <w:sz w:val="32"/>
          <w:szCs w:val="32"/>
        </w:rPr>
      </w:pPr>
      <w:r>
        <w:rPr>
          <w:rFonts w:hint="eastAsia" w:ascii="黑体" w:hAnsi="黑体" w:eastAsia="黑体"/>
          <w:sz w:val="32"/>
          <w:szCs w:val="32"/>
        </w:rPr>
        <w:t>七、其他需要说明的内容。</w:t>
      </w:r>
    </w:p>
    <w:p>
      <w:pPr>
        <w:spacing w:line="360" w:lineRule="auto"/>
        <w:ind w:firstLine="640" w:firstLineChars="200"/>
        <w:rPr>
          <w:rFonts w:ascii="仿宋" w:hAnsi="仿宋" w:eastAsia="仿宋" w:cs="宋体"/>
          <w:kern w:val="0"/>
          <w:sz w:val="32"/>
          <w:szCs w:val="32"/>
        </w:rPr>
      </w:pPr>
      <w:r>
        <w:rPr>
          <w:rFonts w:hint="eastAsia" w:ascii="仿宋" w:hAnsi="仿宋" w:eastAsia="仿宋" w:cs="宋体"/>
          <w:kern w:val="0"/>
          <w:sz w:val="32"/>
          <w:szCs w:val="32"/>
        </w:rPr>
        <w:t>无其他需要说明的内容。</w:t>
      </w:r>
    </w:p>
    <w:p>
      <w:pPr>
        <w:spacing w:line="360" w:lineRule="auto"/>
        <w:ind w:firstLine="640" w:firstLineChars="200"/>
        <w:rPr>
          <w:rFonts w:ascii="仿宋" w:hAnsi="仿宋" w:eastAsia="仿宋" w:cs="宋体"/>
          <w:kern w:val="0"/>
          <w:sz w:val="32"/>
          <w:szCs w:val="32"/>
        </w:rPr>
      </w:pPr>
    </w:p>
    <w:p>
      <w:pPr>
        <w:spacing w:line="360" w:lineRule="auto"/>
        <w:ind w:firstLine="640" w:firstLineChars="200"/>
        <w:rPr>
          <w:rFonts w:ascii="仿宋" w:hAnsi="仿宋" w:eastAsia="仿宋" w:cs="宋体"/>
          <w:kern w:val="0"/>
          <w:sz w:val="32"/>
          <w:szCs w:val="32"/>
        </w:rPr>
      </w:pPr>
      <w:r>
        <w:rPr>
          <w:rFonts w:ascii="仿宋" w:hAnsi="仿宋" w:eastAsia="仿宋" w:cs="宋体"/>
          <w:kern w:val="0"/>
          <w:sz w:val="32"/>
          <w:szCs w:val="32"/>
        </w:rPr>
        <w:t>附件</w:t>
      </w:r>
      <w:r>
        <w:rPr>
          <w:rFonts w:hint="eastAsia" w:ascii="仿宋" w:hAnsi="仿宋" w:eastAsia="仿宋" w:cs="宋体"/>
          <w:kern w:val="0"/>
          <w:sz w:val="32"/>
          <w:szCs w:val="32"/>
        </w:rPr>
        <w:t>：</w:t>
      </w:r>
      <w:r>
        <w:rPr>
          <w:rFonts w:ascii="仿宋" w:hAnsi="仿宋" w:eastAsia="仿宋" w:cs="宋体"/>
          <w:kern w:val="0"/>
          <w:sz w:val="32"/>
          <w:szCs w:val="32"/>
        </w:rPr>
        <w:t>科技创新服务标准化工作现状调查问卷及结果</w:t>
      </w:r>
    </w:p>
    <w:p>
      <w:pPr>
        <w:spacing w:line="360" w:lineRule="auto"/>
        <w:ind w:firstLine="6400" w:firstLineChars="2000"/>
        <w:rPr>
          <w:rFonts w:ascii="仿宋" w:hAnsi="仿宋" w:eastAsia="仿宋" w:cs="宋体"/>
          <w:kern w:val="0"/>
          <w:sz w:val="32"/>
          <w:szCs w:val="32"/>
        </w:rPr>
      </w:pPr>
      <w:r>
        <w:rPr>
          <w:rFonts w:ascii="黑体" w:hAnsi="黑体" w:eastAsia="黑体" w:cs="宋体"/>
          <w:kern w:val="0"/>
          <w:sz w:val="32"/>
          <w:szCs w:val="32"/>
        </w:rPr>
        <w:br w:type="page"/>
      </w:r>
    </w:p>
    <w:p>
      <w:pPr>
        <w:spacing w:line="360" w:lineRule="auto"/>
        <w:rPr>
          <w:rFonts w:ascii="黑体" w:hAnsi="黑体" w:eastAsia="黑体" w:cs="宋体"/>
          <w:kern w:val="0"/>
          <w:sz w:val="32"/>
          <w:szCs w:val="32"/>
        </w:rPr>
      </w:pPr>
      <w:r>
        <w:rPr>
          <w:rFonts w:hint="eastAsia" w:ascii="黑体" w:hAnsi="黑体" w:eastAsia="黑体" w:cs="宋体"/>
          <w:kern w:val="0"/>
          <w:sz w:val="32"/>
          <w:szCs w:val="32"/>
        </w:rPr>
        <w:t>附件：</w:t>
      </w:r>
    </w:p>
    <w:p>
      <w:pPr>
        <w:spacing w:after="400"/>
        <w:ind w:firstLine="160"/>
        <w:jc w:val="center"/>
        <w:rPr>
          <w:rFonts w:ascii="方正小标宋简体" w:eastAsia="方正小标宋简体"/>
        </w:rPr>
      </w:pPr>
      <w:r>
        <w:rPr>
          <w:rFonts w:hint="eastAsia" w:ascii="方正小标宋简体" w:eastAsia="方正小标宋简体"/>
          <w:sz w:val="32"/>
        </w:rPr>
        <w:t>科技创新服务标准化工作现状调查问卷及结果</w:t>
      </w:r>
    </w:p>
    <w:p>
      <w:pPr>
        <w:rPr>
          <w:color w:val="0066FF"/>
        </w:rPr>
      </w:pPr>
      <w:r>
        <w:rPr>
          <w:color w:val="000000"/>
          <w:sz w:val="24"/>
        </w:rPr>
        <w:t>第</w:t>
      </w:r>
      <w:r>
        <w:rPr>
          <w:rFonts w:hint="eastAsia"/>
          <w:color w:val="000000"/>
          <w:sz w:val="24"/>
        </w:rPr>
        <w:t>1</w:t>
      </w:r>
      <w:r>
        <w:rPr>
          <w:color w:val="000000"/>
          <w:sz w:val="24"/>
        </w:rPr>
        <w:t xml:space="preserve">题   贵单位对国家和省有关支持科技创新服务政策是否了解？  </w:t>
      </w:r>
    </w:p>
    <w:p>
      <w:pPr>
        <w:rPr>
          <w:color w:val="0066FF"/>
        </w:rPr>
      </w:pPr>
    </w:p>
    <w:tbl>
      <w:tblPr>
        <w:tblStyle w:val="12"/>
        <w:tblW w:w="5000" w:type="pct"/>
        <w:tblInd w:w="0" w:type="dxa"/>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Layout w:type="autofit"/>
        <w:tblCellMar>
          <w:top w:w="0" w:type="dxa"/>
          <w:left w:w="108" w:type="dxa"/>
          <w:bottom w:w="0" w:type="dxa"/>
          <w:right w:w="108" w:type="dxa"/>
        </w:tblCellMar>
      </w:tblPr>
      <w:tblGrid>
        <w:gridCol w:w="2889"/>
        <w:gridCol w:w="969"/>
        <w:gridCol w:w="4664"/>
      </w:tblGrid>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E0E0E0"/>
            <w:vAlign w:val="center"/>
          </w:tcPr>
          <w:p>
            <w:pPr>
              <w:jc w:val="center"/>
            </w:pPr>
            <w:r>
              <w:t>选项</w:t>
            </w:r>
          </w:p>
        </w:tc>
        <w:tc>
          <w:tcPr>
            <w:tcW w:w="0" w:type="auto"/>
            <w:shd w:val="clear" w:color="auto" w:fill="E0E0E0"/>
            <w:vAlign w:val="center"/>
          </w:tcPr>
          <w:p>
            <w:pPr>
              <w:jc w:val="center"/>
            </w:pPr>
            <w:r>
              <w:t>小计</w:t>
            </w:r>
          </w:p>
        </w:tc>
        <w:tc>
          <w:tcPr>
            <w:tcW w:w="0" w:type="auto"/>
            <w:shd w:val="clear" w:color="auto" w:fill="E0E0E0"/>
            <w:vAlign w:val="center"/>
          </w:tcPr>
          <w:p>
            <w:pPr>
              <w:jc w:val="center"/>
            </w:pPr>
            <w:r>
              <w:t>比例</w:t>
            </w:r>
          </w:p>
        </w:tc>
      </w:tr>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FFFFFF"/>
            <w:vAlign w:val="center"/>
          </w:tcPr>
          <w:p>
            <w:r>
              <w:t>非常了解</w:t>
            </w:r>
          </w:p>
        </w:tc>
        <w:tc>
          <w:tcPr>
            <w:tcW w:w="0" w:type="auto"/>
            <w:shd w:val="clear" w:color="auto" w:fill="FFFFFF"/>
            <w:vAlign w:val="center"/>
          </w:tcPr>
          <w:p>
            <w:pPr>
              <w:jc w:val="center"/>
            </w:pPr>
            <w:r>
              <w:t>39</w:t>
            </w:r>
          </w:p>
        </w:tc>
        <w:tc>
          <w:tcPr>
            <w:tcW w:w="0" w:type="auto"/>
            <w:shd w:val="clear" w:color="auto" w:fill="FFFFFF"/>
            <w:vAlign w:val="center"/>
          </w:tcPr>
          <w:p>
            <w:r>
              <w:drawing>
                <wp:inline distT="0" distB="0" distL="0" distR="0">
                  <wp:extent cx="379730" cy="112395"/>
                  <wp:effectExtent l="19050" t="0" r="127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4" cstate="print"/>
                          <a:srcRect/>
                          <a:stretch>
                            <a:fillRect/>
                          </a:stretch>
                        </pic:blipFill>
                        <pic:spPr>
                          <a:xfrm>
                            <a:off x="0" y="0"/>
                            <a:ext cx="379730" cy="112395"/>
                          </a:xfrm>
                          <a:prstGeom prst="rect">
                            <a:avLst/>
                          </a:prstGeom>
                          <a:noFill/>
                          <a:ln w="9525">
                            <a:noFill/>
                            <a:miter lim="800000"/>
                            <a:headEnd/>
                            <a:tailEnd/>
                          </a:ln>
                        </pic:spPr>
                      </pic:pic>
                    </a:graphicData>
                  </a:graphic>
                </wp:inline>
              </w:drawing>
            </w:r>
            <w:r>
              <w:drawing>
                <wp:inline distT="0" distB="0" distL="0" distR="0">
                  <wp:extent cx="974725" cy="112395"/>
                  <wp:effectExtent l="1905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5" cstate="print"/>
                          <a:srcRect/>
                          <a:stretch>
                            <a:fillRect/>
                          </a:stretch>
                        </pic:blipFill>
                        <pic:spPr>
                          <a:xfrm>
                            <a:off x="0" y="0"/>
                            <a:ext cx="974725" cy="112395"/>
                          </a:xfrm>
                          <a:prstGeom prst="rect">
                            <a:avLst/>
                          </a:prstGeom>
                          <a:noFill/>
                          <a:ln w="9525">
                            <a:noFill/>
                            <a:miter lim="800000"/>
                            <a:headEnd/>
                            <a:tailEnd/>
                          </a:ln>
                        </pic:spPr>
                      </pic:pic>
                    </a:graphicData>
                  </a:graphic>
                </wp:inline>
              </w:drawing>
            </w:r>
            <w:r>
              <w:t>28.68%</w:t>
            </w:r>
          </w:p>
        </w:tc>
      </w:tr>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F9F9F9"/>
            <w:vAlign w:val="center"/>
          </w:tcPr>
          <w:p>
            <w:r>
              <w:t>比较了解</w:t>
            </w:r>
          </w:p>
        </w:tc>
        <w:tc>
          <w:tcPr>
            <w:tcW w:w="0" w:type="auto"/>
            <w:shd w:val="clear" w:color="auto" w:fill="F9F9F9"/>
            <w:vAlign w:val="center"/>
          </w:tcPr>
          <w:p>
            <w:pPr>
              <w:jc w:val="center"/>
            </w:pPr>
            <w:r>
              <w:t>58</w:t>
            </w:r>
          </w:p>
        </w:tc>
        <w:tc>
          <w:tcPr>
            <w:tcW w:w="0" w:type="auto"/>
            <w:shd w:val="clear" w:color="auto" w:fill="F9F9F9"/>
            <w:vAlign w:val="center"/>
          </w:tcPr>
          <w:p>
            <w:r>
              <w:drawing>
                <wp:inline distT="0" distB="0" distL="0" distR="0">
                  <wp:extent cx="569595" cy="112395"/>
                  <wp:effectExtent l="19050" t="0" r="190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6" cstate="print"/>
                          <a:srcRect/>
                          <a:stretch>
                            <a:fillRect/>
                          </a:stretch>
                        </pic:blipFill>
                        <pic:spPr>
                          <a:xfrm>
                            <a:off x="0" y="0"/>
                            <a:ext cx="569595" cy="112395"/>
                          </a:xfrm>
                          <a:prstGeom prst="rect">
                            <a:avLst/>
                          </a:prstGeom>
                          <a:noFill/>
                          <a:ln w="9525">
                            <a:noFill/>
                            <a:miter lim="800000"/>
                            <a:headEnd/>
                            <a:tailEnd/>
                          </a:ln>
                        </pic:spPr>
                      </pic:pic>
                    </a:graphicData>
                  </a:graphic>
                </wp:inline>
              </w:drawing>
            </w:r>
            <w:r>
              <w:drawing>
                <wp:inline distT="0" distB="0" distL="0" distR="0">
                  <wp:extent cx="784860" cy="112395"/>
                  <wp:effectExtent l="1905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7" cstate="print"/>
                          <a:srcRect/>
                          <a:stretch>
                            <a:fillRect/>
                          </a:stretch>
                        </pic:blipFill>
                        <pic:spPr>
                          <a:xfrm>
                            <a:off x="0" y="0"/>
                            <a:ext cx="784860" cy="112395"/>
                          </a:xfrm>
                          <a:prstGeom prst="rect">
                            <a:avLst/>
                          </a:prstGeom>
                          <a:noFill/>
                          <a:ln w="9525">
                            <a:noFill/>
                            <a:miter lim="800000"/>
                            <a:headEnd/>
                            <a:tailEnd/>
                          </a:ln>
                        </pic:spPr>
                      </pic:pic>
                    </a:graphicData>
                  </a:graphic>
                </wp:inline>
              </w:drawing>
            </w:r>
            <w:r>
              <w:t>42.65%</w:t>
            </w:r>
          </w:p>
        </w:tc>
      </w:tr>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FFFFFF"/>
            <w:vAlign w:val="center"/>
          </w:tcPr>
          <w:p>
            <w:r>
              <w:t>基本了解</w:t>
            </w:r>
          </w:p>
        </w:tc>
        <w:tc>
          <w:tcPr>
            <w:tcW w:w="0" w:type="auto"/>
            <w:shd w:val="clear" w:color="auto" w:fill="FFFFFF"/>
            <w:vAlign w:val="center"/>
          </w:tcPr>
          <w:p>
            <w:pPr>
              <w:jc w:val="center"/>
            </w:pPr>
            <w:r>
              <w:t>35</w:t>
            </w:r>
          </w:p>
        </w:tc>
        <w:tc>
          <w:tcPr>
            <w:tcW w:w="0" w:type="auto"/>
            <w:shd w:val="clear" w:color="auto" w:fill="FFFFFF"/>
            <w:vAlign w:val="center"/>
          </w:tcPr>
          <w:p>
            <w:r>
              <w:drawing>
                <wp:inline distT="0" distB="0" distL="0" distR="0">
                  <wp:extent cx="344805" cy="112395"/>
                  <wp:effectExtent l="1905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8" cstate="print"/>
                          <a:srcRect/>
                          <a:stretch>
                            <a:fillRect/>
                          </a:stretch>
                        </pic:blipFill>
                        <pic:spPr>
                          <a:xfrm>
                            <a:off x="0" y="0"/>
                            <a:ext cx="344805" cy="112395"/>
                          </a:xfrm>
                          <a:prstGeom prst="rect">
                            <a:avLst/>
                          </a:prstGeom>
                          <a:noFill/>
                          <a:ln w="9525">
                            <a:noFill/>
                            <a:miter lim="800000"/>
                            <a:headEnd/>
                            <a:tailEnd/>
                          </a:ln>
                        </pic:spPr>
                      </pic:pic>
                    </a:graphicData>
                  </a:graphic>
                </wp:inline>
              </w:drawing>
            </w:r>
            <w:r>
              <w:drawing>
                <wp:inline distT="0" distB="0" distL="0" distR="0">
                  <wp:extent cx="1009015" cy="112395"/>
                  <wp:effectExtent l="19050" t="0" r="63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9" cstate="print"/>
                          <a:srcRect/>
                          <a:stretch>
                            <a:fillRect/>
                          </a:stretch>
                        </pic:blipFill>
                        <pic:spPr>
                          <a:xfrm>
                            <a:off x="0" y="0"/>
                            <a:ext cx="1009015" cy="112395"/>
                          </a:xfrm>
                          <a:prstGeom prst="rect">
                            <a:avLst/>
                          </a:prstGeom>
                          <a:noFill/>
                          <a:ln w="9525">
                            <a:noFill/>
                            <a:miter lim="800000"/>
                            <a:headEnd/>
                            <a:tailEnd/>
                          </a:ln>
                        </pic:spPr>
                      </pic:pic>
                    </a:graphicData>
                  </a:graphic>
                </wp:inline>
              </w:drawing>
            </w:r>
            <w:r>
              <w:t>25.74%</w:t>
            </w:r>
          </w:p>
        </w:tc>
      </w:tr>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F9F9F9"/>
            <w:vAlign w:val="center"/>
          </w:tcPr>
          <w:p>
            <w:r>
              <w:t>完全不了解</w:t>
            </w:r>
          </w:p>
        </w:tc>
        <w:tc>
          <w:tcPr>
            <w:tcW w:w="0" w:type="auto"/>
            <w:shd w:val="clear" w:color="auto" w:fill="F9F9F9"/>
            <w:vAlign w:val="center"/>
          </w:tcPr>
          <w:p>
            <w:pPr>
              <w:jc w:val="center"/>
            </w:pPr>
            <w:r>
              <w:t>4</w:t>
            </w:r>
          </w:p>
        </w:tc>
        <w:tc>
          <w:tcPr>
            <w:tcW w:w="0" w:type="auto"/>
            <w:shd w:val="clear" w:color="auto" w:fill="F9F9F9"/>
            <w:vAlign w:val="center"/>
          </w:tcPr>
          <w:p>
            <w:r>
              <w:drawing>
                <wp:inline distT="0" distB="0" distL="0" distR="0">
                  <wp:extent cx="34290" cy="112395"/>
                  <wp:effectExtent l="19050" t="0" r="381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10" cstate="print"/>
                          <a:srcRect/>
                          <a:stretch>
                            <a:fillRect/>
                          </a:stretch>
                        </pic:blipFill>
                        <pic:spPr>
                          <a:xfrm>
                            <a:off x="0" y="0"/>
                            <a:ext cx="34290" cy="112395"/>
                          </a:xfrm>
                          <a:prstGeom prst="rect">
                            <a:avLst/>
                          </a:prstGeom>
                          <a:noFill/>
                          <a:ln w="9525">
                            <a:noFill/>
                            <a:miter lim="800000"/>
                            <a:headEnd/>
                            <a:tailEnd/>
                          </a:ln>
                        </pic:spPr>
                      </pic:pic>
                    </a:graphicData>
                  </a:graphic>
                </wp:inline>
              </w:drawing>
            </w:r>
            <w:r>
              <w:drawing>
                <wp:inline distT="0" distB="0" distL="0" distR="0">
                  <wp:extent cx="1311275" cy="112395"/>
                  <wp:effectExtent l="19050" t="0" r="317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11" cstate="print"/>
                          <a:srcRect/>
                          <a:stretch>
                            <a:fillRect/>
                          </a:stretch>
                        </pic:blipFill>
                        <pic:spPr>
                          <a:xfrm>
                            <a:off x="0" y="0"/>
                            <a:ext cx="1311275" cy="112395"/>
                          </a:xfrm>
                          <a:prstGeom prst="rect">
                            <a:avLst/>
                          </a:prstGeom>
                          <a:noFill/>
                          <a:ln w="9525">
                            <a:noFill/>
                            <a:miter lim="800000"/>
                            <a:headEnd/>
                            <a:tailEnd/>
                          </a:ln>
                        </pic:spPr>
                      </pic:pic>
                    </a:graphicData>
                  </a:graphic>
                </wp:inline>
              </w:drawing>
            </w:r>
            <w:r>
              <w:t>2.94%</w:t>
            </w:r>
          </w:p>
        </w:tc>
      </w:tr>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E0E0E0"/>
            <w:vAlign w:val="center"/>
          </w:tcPr>
          <w:p>
            <w:r>
              <w:t>本题有效填写人次</w:t>
            </w:r>
          </w:p>
        </w:tc>
        <w:tc>
          <w:tcPr>
            <w:tcW w:w="0" w:type="auto"/>
            <w:shd w:val="clear" w:color="auto" w:fill="E0E0E0"/>
            <w:vAlign w:val="center"/>
          </w:tcPr>
          <w:p>
            <w:pPr>
              <w:jc w:val="center"/>
            </w:pPr>
            <w:r>
              <w:t>136</w:t>
            </w:r>
          </w:p>
        </w:tc>
        <w:tc>
          <w:tcPr>
            <w:tcW w:w="0" w:type="auto"/>
            <w:shd w:val="clear" w:color="auto" w:fill="E0E0E0"/>
            <w:vAlign w:val="center"/>
          </w:tcPr>
          <w:p/>
        </w:tc>
      </w:tr>
    </w:tbl>
    <w:p/>
    <w:p/>
    <w:p>
      <w:r>
        <w:rPr>
          <w:color w:val="000000"/>
          <w:sz w:val="24"/>
        </w:rPr>
        <w:t>第</w:t>
      </w:r>
      <w:r>
        <w:rPr>
          <w:rFonts w:hint="eastAsia"/>
          <w:color w:val="000000"/>
          <w:sz w:val="24"/>
        </w:rPr>
        <w:t>2</w:t>
      </w:r>
      <w:r>
        <w:rPr>
          <w:color w:val="000000"/>
          <w:sz w:val="24"/>
        </w:rPr>
        <w:t xml:space="preserve">题   贵单位是否拥有负责研发的机构与部门？    </w:t>
      </w:r>
    </w:p>
    <w:p>
      <w:pPr>
        <w:rPr>
          <w:color w:val="0066FF"/>
        </w:rPr>
      </w:pPr>
    </w:p>
    <w:tbl>
      <w:tblPr>
        <w:tblStyle w:val="12"/>
        <w:tblW w:w="5000" w:type="pct"/>
        <w:tblInd w:w="0" w:type="dxa"/>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Layout w:type="autofit"/>
        <w:tblCellMar>
          <w:top w:w="0" w:type="dxa"/>
          <w:left w:w="108" w:type="dxa"/>
          <w:bottom w:w="0" w:type="dxa"/>
          <w:right w:w="108" w:type="dxa"/>
        </w:tblCellMar>
      </w:tblPr>
      <w:tblGrid>
        <w:gridCol w:w="3090"/>
        <w:gridCol w:w="933"/>
        <w:gridCol w:w="4499"/>
      </w:tblGrid>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E0E0E0"/>
            <w:vAlign w:val="center"/>
          </w:tcPr>
          <w:p>
            <w:pPr>
              <w:jc w:val="center"/>
            </w:pPr>
            <w:r>
              <w:t>选项</w:t>
            </w:r>
          </w:p>
        </w:tc>
        <w:tc>
          <w:tcPr>
            <w:tcW w:w="0" w:type="auto"/>
            <w:shd w:val="clear" w:color="auto" w:fill="E0E0E0"/>
            <w:vAlign w:val="center"/>
          </w:tcPr>
          <w:p>
            <w:pPr>
              <w:jc w:val="center"/>
            </w:pPr>
            <w:r>
              <w:t>小计</w:t>
            </w:r>
          </w:p>
        </w:tc>
        <w:tc>
          <w:tcPr>
            <w:tcW w:w="0" w:type="auto"/>
            <w:shd w:val="clear" w:color="auto" w:fill="E0E0E0"/>
            <w:vAlign w:val="center"/>
          </w:tcPr>
          <w:p>
            <w:pPr>
              <w:jc w:val="center"/>
            </w:pPr>
            <w:r>
              <w:t>比例</w:t>
            </w:r>
          </w:p>
        </w:tc>
      </w:tr>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FFFFFF"/>
            <w:vAlign w:val="center"/>
          </w:tcPr>
          <w:p>
            <w:r>
              <w:t>有专职机构</w:t>
            </w:r>
          </w:p>
        </w:tc>
        <w:tc>
          <w:tcPr>
            <w:tcW w:w="0" w:type="auto"/>
            <w:shd w:val="clear" w:color="auto" w:fill="FFFFFF"/>
            <w:vAlign w:val="center"/>
          </w:tcPr>
          <w:p>
            <w:pPr>
              <w:jc w:val="center"/>
            </w:pPr>
            <w:r>
              <w:t>103</w:t>
            </w:r>
          </w:p>
        </w:tc>
        <w:tc>
          <w:tcPr>
            <w:tcW w:w="0" w:type="auto"/>
            <w:shd w:val="clear" w:color="auto" w:fill="FFFFFF"/>
            <w:vAlign w:val="center"/>
          </w:tcPr>
          <w:p>
            <w:r>
              <w:drawing>
                <wp:inline distT="0" distB="0" distL="0" distR="0">
                  <wp:extent cx="1017905" cy="112395"/>
                  <wp:effectExtent l="1905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12" cstate="print"/>
                          <a:srcRect/>
                          <a:stretch>
                            <a:fillRect/>
                          </a:stretch>
                        </pic:blipFill>
                        <pic:spPr>
                          <a:xfrm>
                            <a:off x="0" y="0"/>
                            <a:ext cx="1017905" cy="112395"/>
                          </a:xfrm>
                          <a:prstGeom prst="rect">
                            <a:avLst/>
                          </a:prstGeom>
                          <a:noFill/>
                          <a:ln w="9525">
                            <a:noFill/>
                            <a:miter lim="800000"/>
                            <a:headEnd/>
                            <a:tailEnd/>
                          </a:ln>
                        </pic:spPr>
                      </pic:pic>
                    </a:graphicData>
                  </a:graphic>
                </wp:inline>
              </w:drawing>
            </w:r>
            <w:r>
              <w:drawing>
                <wp:inline distT="0" distB="0" distL="0" distR="0">
                  <wp:extent cx="336550" cy="112395"/>
                  <wp:effectExtent l="19050" t="0" r="635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13" cstate="print"/>
                          <a:srcRect/>
                          <a:stretch>
                            <a:fillRect/>
                          </a:stretch>
                        </pic:blipFill>
                        <pic:spPr>
                          <a:xfrm>
                            <a:off x="0" y="0"/>
                            <a:ext cx="336550" cy="112395"/>
                          </a:xfrm>
                          <a:prstGeom prst="rect">
                            <a:avLst/>
                          </a:prstGeom>
                          <a:noFill/>
                          <a:ln w="9525">
                            <a:noFill/>
                            <a:miter lim="800000"/>
                            <a:headEnd/>
                            <a:tailEnd/>
                          </a:ln>
                        </pic:spPr>
                      </pic:pic>
                    </a:graphicData>
                  </a:graphic>
                </wp:inline>
              </w:drawing>
            </w:r>
            <w:r>
              <w:t>75.74%</w:t>
            </w:r>
          </w:p>
        </w:tc>
      </w:tr>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F9F9F9"/>
            <w:vAlign w:val="center"/>
          </w:tcPr>
          <w:p>
            <w:r>
              <w:t>兼职机构</w:t>
            </w:r>
          </w:p>
        </w:tc>
        <w:tc>
          <w:tcPr>
            <w:tcW w:w="0" w:type="auto"/>
            <w:shd w:val="clear" w:color="auto" w:fill="F9F9F9"/>
            <w:vAlign w:val="center"/>
          </w:tcPr>
          <w:p>
            <w:pPr>
              <w:jc w:val="center"/>
            </w:pPr>
            <w:r>
              <w:t>27</w:t>
            </w:r>
          </w:p>
        </w:tc>
        <w:tc>
          <w:tcPr>
            <w:tcW w:w="0" w:type="auto"/>
            <w:shd w:val="clear" w:color="auto" w:fill="F9F9F9"/>
            <w:vAlign w:val="center"/>
          </w:tcPr>
          <w:p>
            <w:r>
              <w:drawing>
                <wp:inline distT="0" distB="0" distL="0" distR="0">
                  <wp:extent cx="267335" cy="112395"/>
                  <wp:effectExtent l="1905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14" cstate="print"/>
                          <a:srcRect/>
                          <a:stretch>
                            <a:fillRect/>
                          </a:stretch>
                        </pic:blipFill>
                        <pic:spPr>
                          <a:xfrm>
                            <a:off x="0" y="0"/>
                            <a:ext cx="267335" cy="112395"/>
                          </a:xfrm>
                          <a:prstGeom prst="rect">
                            <a:avLst/>
                          </a:prstGeom>
                          <a:noFill/>
                          <a:ln w="9525">
                            <a:noFill/>
                            <a:miter lim="800000"/>
                            <a:headEnd/>
                            <a:tailEnd/>
                          </a:ln>
                        </pic:spPr>
                      </pic:pic>
                    </a:graphicData>
                  </a:graphic>
                </wp:inline>
              </w:drawing>
            </w:r>
            <w:r>
              <w:drawing>
                <wp:inline distT="0" distB="0" distL="0" distR="0">
                  <wp:extent cx="1087120" cy="112395"/>
                  <wp:effectExtent l="1905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15" cstate="print"/>
                          <a:srcRect/>
                          <a:stretch>
                            <a:fillRect/>
                          </a:stretch>
                        </pic:blipFill>
                        <pic:spPr>
                          <a:xfrm>
                            <a:off x="0" y="0"/>
                            <a:ext cx="1087120" cy="112395"/>
                          </a:xfrm>
                          <a:prstGeom prst="rect">
                            <a:avLst/>
                          </a:prstGeom>
                          <a:noFill/>
                          <a:ln w="9525">
                            <a:noFill/>
                            <a:miter lim="800000"/>
                            <a:headEnd/>
                            <a:tailEnd/>
                          </a:ln>
                        </pic:spPr>
                      </pic:pic>
                    </a:graphicData>
                  </a:graphic>
                </wp:inline>
              </w:drawing>
            </w:r>
            <w:r>
              <w:t>19.85%</w:t>
            </w:r>
          </w:p>
        </w:tc>
      </w:tr>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FFFFFF"/>
            <w:vAlign w:val="center"/>
          </w:tcPr>
          <w:p>
            <w:r>
              <w:t>没有相关机构或部门</w:t>
            </w:r>
          </w:p>
        </w:tc>
        <w:tc>
          <w:tcPr>
            <w:tcW w:w="0" w:type="auto"/>
            <w:shd w:val="clear" w:color="auto" w:fill="FFFFFF"/>
            <w:vAlign w:val="center"/>
          </w:tcPr>
          <w:p>
            <w:pPr>
              <w:jc w:val="center"/>
            </w:pPr>
            <w:r>
              <w:t>6</w:t>
            </w:r>
          </w:p>
        </w:tc>
        <w:tc>
          <w:tcPr>
            <w:tcW w:w="0" w:type="auto"/>
            <w:shd w:val="clear" w:color="auto" w:fill="FFFFFF"/>
            <w:vAlign w:val="center"/>
          </w:tcPr>
          <w:p>
            <w:r>
              <w:drawing>
                <wp:inline distT="0" distB="0" distL="0" distR="0">
                  <wp:extent cx="60325" cy="112395"/>
                  <wp:effectExtent l="1905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16" cstate="print"/>
                          <a:srcRect/>
                          <a:stretch>
                            <a:fillRect/>
                          </a:stretch>
                        </pic:blipFill>
                        <pic:spPr>
                          <a:xfrm>
                            <a:off x="0" y="0"/>
                            <a:ext cx="60325" cy="112395"/>
                          </a:xfrm>
                          <a:prstGeom prst="rect">
                            <a:avLst/>
                          </a:prstGeom>
                          <a:noFill/>
                          <a:ln w="9525">
                            <a:noFill/>
                            <a:miter lim="800000"/>
                            <a:headEnd/>
                            <a:tailEnd/>
                          </a:ln>
                        </pic:spPr>
                      </pic:pic>
                    </a:graphicData>
                  </a:graphic>
                </wp:inline>
              </w:drawing>
            </w:r>
            <w:r>
              <w:drawing>
                <wp:inline distT="0" distB="0" distL="0" distR="0">
                  <wp:extent cx="1294130" cy="112395"/>
                  <wp:effectExtent l="19050" t="0" r="127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noChangeArrowheads="1"/>
                          </pic:cNvPicPr>
                        </pic:nvPicPr>
                        <pic:blipFill>
                          <a:blip r:embed="rId17" cstate="print"/>
                          <a:srcRect/>
                          <a:stretch>
                            <a:fillRect/>
                          </a:stretch>
                        </pic:blipFill>
                        <pic:spPr>
                          <a:xfrm>
                            <a:off x="0" y="0"/>
                            <a:ext cx="1294130" cy="112395"/>
                          </a:xfrm>
                          <a:prstGeom prst="rect">
                            <a:avLst/>
                          </a:prstGeom>
                          <a:noFill/>
                          <a:ln w="9525">
                            <a:noFill/>
                            <a:miter lim="800000"/>
                            <a:headEnd/>
                            <a:tailEnd/>
                          </a:ln>
                        </pic:spPr>
                      </pic:pic>
                    </a:graphicData>
                  </a:graphic>
                </wp:inline>
              </w:drawing>
            </w:r>
            <w:r>
              <w:t>4.41%</w:t>
            </w:r>
          </w:p>
        </w:tc>
      </w:tr>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E0E0E0"/>
            <w:vAlign w:val="center"/>
          </w:tcPr>
          <w:p>
            <w:r>
              <w:t>本题有效填写人次</w:t>
            </w:r>
          </w:p>
        </w:tc>
        <w:tc>
          <w:tcPr>
            <w:tcW w:w="0" w:type="auto"/>
            <w:shd w:val="clear" w:color="auto" w:fill="E0E0E0"/>
            <w:vAlign w:val="center"/>
          </w:tcPr>
          <w:p>
            <w:pPr>
              <w:jc w:val="center"/>
            </w:pPr>
            <w:r>
              <w:t>136</w:t>
            </w:r>
          </w:p>
        </w:tc>
        <w:tc>
          <w:tcPr>
            <w:tcW w:w="0" w:type="auto"/>
            <w:shd w:val="clear" w:color="auto" w:fill="E0E0E0"/>
            <w:vAlign w:val="center"/>
          </w:tcPr>
          <w:p/>
        </w:tc>
      </w:tr>
    </w:tbl>
    <w:p/>
    <w:p/>
    <w:p>
      <w:r>
        <w:rPr>
          <w:color w:val="000000"/>
          <w:sz w:val="24"/>
        </w:rPr>
        <w:t>第</w:t>
      </w:r>
      <w:r>
        <w:rPr>
          <w:rFonts w:hint="eastAsia"/>
          <w:color w:val="000000"/>
          <w:sz w:val="24"/>
        </w:rPr>
        <w:t>3</w:t>
      </w:r>
      <w:r>
        <w:rPr>
          <w:color w:val="000000"/>
          <w:sz w:val="24"/>
        </w:rPr>
        <w:t xml:space="preserve">题   目前贵单位科技创新遇到的最大困难有哪些？    </w:t>
      </w:r>
    </w:p>
    <w:p>
      <w:pPr>
        <w:rPr>
          <w:color w:val="0066FF"/>
        </w:rPr>
      </w:pPr>
    </w:p>
    <w:tbl>
      <w:tblPr>
        <w:tblStyle w:val="12"/>
        <w:tblW w:w="5000" w:type="pct"/>
        <w:tblInd w:w="0" w:type="dxa"/>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Layout w:type="autofit"/>
        <w:tblCellMar>
          <w:top w:w="0" w:type="dxa"/>
          <w:left w:w="108" w:type="dxa"/>
          <w:bottom w:w="0" w:type="dxa"/>
          <w:right w:w="108" w:type="dxa"/>
        </w:tblCellMar>
      </w:tblPr>
      <w:tblGrid>
        <w:gridCol w:w="2877"/>
        <w:gridCol w:w="965"/>
        <w:gridCol w:w="4680"/>
      </w:tblGrid>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E0E0E0"/>
            <w:vAlign w:val="center"/>
          </w:tcPr>
          <w:p>
            <w:pPr>
              <w:jc w:val="center"/>
            </w:pPr>
            <w:r>
              <w:t>选项</w:t>
            </w:r>
          </w:p>
        </w:tc>
        <w:tc>
          <w:tcPr>
            <w:tcW w:w="0" w:type="auto"/>
            <w:shd w:val="clear" w:color="auto" w:fill="E0E0E0"/>
            <w:vAlign w:val="center"/>
          </w:tcPr>
          <w:p>
            <w:pPr>
              <w:jc w:val="center"/>
            </w:pPr>
            <w:r>
              <w:t>小计</w:t>
            </w:r>
          </w:p>
        </w:tc>
        <w:tc>
          <w:tcPr>
            <w:tcW w:w="0" w:type="auto"/>
            <w:shd w:val="clear" w:color="auto" w:fill="E0E0E0"/>
            <w:vAlign w:val="center"/>
          </w:tcPr>
          <w:p>
            <w:pPr>
              <w:jc w:val="center"/>
            </w:pPr>
            <w:r>
              <w:t>比例</w:t>
            </w:r>
          </w:p>
        </w:tc>
      </w:tr>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PrEx>
        <w:trPr>
          <w:trHeight w:val="500" w:hRule="atLeast"/>
        </w:trPr>
        <w:tc>
          <w:tcPr>
            <w:tcW w:w="0" w:type="auto"/>
            <w:shd w:val="clear" w:color="auto" w:fill="FFFFFF"/>
            <w:vAlign w:val="center"/>
          </w:tcPr>
          <w:p>
            <w:r>
              <w:t>人才短缺</w:t>
            </w:r>
          </w:p>
        </w:tc>
        <w:tc>
          <w:tcPr>
            <w:tcW w:w="0" w:type="auto"/>
            <w:shd w:val="clear" w:color="auto" w:fill="FFFFFF"/>
            <w:vAlign w:val="center"/>
          </w:tcPr>
          <w:p>
            <w:pPr>
              <w:jc w:val="center"/>
            </w:pPr>
            <w:r>
              <w:t>99</w:t>
            </w:r>
          </w:p>
        </w:tc>
        <w:tc>
          <w:tcPr>
            <w:tcW w:w="0" w:type="auto"/>
            <w:shd w:val="clear" w:color="auto" w:fill="FFFFFF"/>
            <w:vAlign w:val="center"/>
          </w:tcPr>
          <w:p>
            <w:r>
              <w:drawing>
                <wp:inline distT="0" distB="0" distL="0" distR="0">
                  <wp:extent cx="983615" cy="112395"/>
                  <wp:effectExtent l="19050" t="0" r="698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noChangeArrowheads="1"/>
                          </pic:cNvPicPr>
                        </pic:nvPicPr>
                        <pic:blipFill>
                          <a:blip r:embed="rId18" cstate="print"/>
                          <a:srcRect/>
                          <a:stretch>
                            <a:fillRect/>
                          </a:stretch>
                        </pic:blipFill>
                        <pic:spPr>
                          <a:xfrm>
                            <a:off x="0" y="0"/>
                            <a:ext cx="983615" cy="112395"/>
                          </a:xfrm>
                          <a:prstGeom prst="rect">
                            <a:avLst/>
                          </a:prstGeom>
                          <a:noFill/>
                          <a:ln w="9525">
                            <a:noFill/>
                            <a:miter lim="800000"/>
                            <a:headEnd/>
                            <a:tailEnd/>
                          </a:ln>
                        </pic:spPr>
                      </pic:pic>
                    </a:graphicData>
                  </a:graphic>
                </wp:inline>
              </w:drawing>
            </w:r>
            <w:r>
              <w:drawing>
                <wp:inline distT="0" distB="0" distL="0" distR="0">
                  <wp:extent cx="370840" cy="112395"/>
                  <wp:effectExtent l="1905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noChangeArrowheads="1"/>
                          </pic:cNvPicPr>
                        </pic:nvPicPr>
                        <pic:blipFill>
                          <a:blip r:embed="rId19" cstate="print"/>
                          <a:srcRect/>
                          <a:stretch>
                            <a:fillRect/>
                          </a:stretch>
                        </pic:blipFill>
                        <pic:spPr>
                          <a:xfrm>
                            <a:off x="0" y="0"/>
                            <a:ext cx="370840" cy="112395"/>
                          </a:xfrm>
                          <a:prstGeom prst="rect">
                            <a:avLst/>
                          </a:prstGeom>
                          <a:noFill/>
                          <a:ln w="9525">
                            <a:noFill/>
                            <a:miter lim="800000"/>
                            <a:headEnd/>
                            <a:tailEnd/>
                          </a:ln>
                        </pic:spPr>
                      </pic:pic>
                    </a:graphicData>
                  </a:graphic>
                </wp:inline>
              </w:drawing>
            </w:r>
            <w:r>
              <w:t>72.79%</w:t>
            </w:r>
          </w:p>
        </w:tc>
      </w:tr>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F9F9F9"/>
            <w:vAlign w:val="center"/>
          </w:tcPr>
          <w:p>
            <w:r>
              <w:t>技术储备不够</w:t>
            </w:r>
          </w:p>
        </w:tc>
        <w:tc>
          <w:tcPr>
            <w:tcW w:w="0" w:type="auto"/>
            <w:shd w:val="clear" w:color="auto" w:fill="F9F9F9"/>
            <w:vAlign w:val="center"/>
          </w:tcPr>
          <w:p>
            <w:pPr>
              <w:jc w:val="center"/>
            </w:pPr>
            <w:r>
              <w:t>54</w:t>
            </w:r>
          </w:p>
        </w:tc>
        <w:tc>
          <w:tcPr>
            <w:tcW w:w="0" w:type="auto"/>
            <w:shd w:val="clear" w:color="auto" w:fill="F9F9F9"/>
            <w:vAlign w:val="center"/>
          </w:tcPr>
          <w:p>
            <w:r>
              <w:drawing>
                <wp:inline distT="0" distB="0" distL="0" distR="0">
                  <wp:extent cx="534670" cy="112395"/>
                  <wp:effectExtent l="1905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noChangeArrowheads="1"/>
                          </pic:cNvPicPr>
                        </pic:nvPicPr>
                        <pic:blipFill>
                          <a:blip r:embed="rId20" cstate="print"/>
                          <a:srcRect/>
                          <a:stretch>
                            <a:fillRect/>
                          </a:stretch>
                        </pic:blipFill>
                        <pic:spPr>
                          <a:xfrm>
                            <a:off x="0" y="0"/>
                            <a:ext cx="534670" cy="112395"/>
                          </a:xfrm>
                          <a:prstGeom prst="rect">
                            <a:avLst/>
                          </a:prstGeom>
                          <a:noFill/>
                          <a:ln w="9525">
                            <a:noFill/>
                            <a:miter lim="800000"/>
                            <a:headEnd/>
                            <a:tailEnd/>
                          </a:ln>
                        </pic:spPr>
                      </pic:pic>
                    </a:graphicData>
                  </a:graphic>
                </wp:inline>
              </w:drawing>
            </w:r>
            <w:r>
              <w:drawing>
                <wp:inline distT="0" distB="0" distL="0" distR="0">
                  <wp:extent cx="819785" cy="112395"/>
                  <wp:effectExtent l="1905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noChangeArrowheads="1"/>
                          </pic:cNvPicPr>
                        </pic:nvPicPr>
                        <pic:blipFill>
                          <a:blip r:embed="rId21" cstate="print"/>
                          <a:srcRect/>
                          <a:stretch>
                            <a:fillRect/>
                          </a:stretch>
                        </pic:blipFill>
                        <pic:spPr>
                          <a:xfrm>
                            <a:off x="0" y="0"/>
                            <a:ext cx="819785" cy="112395"/>
                          </a:xfrm>
                          <a:prstGeom prst="rect">
                            <a:avLst/>
                          </a:prstGeom>
                          <a:noFill/>
                          <a:ln w="9525">
                            <a:noFill/>
                            <a:miter lim="800000"/>
                            <a:headEnd/>
                            <a:tailEnd/>
                          </a:ln>
                        </pic:spPr>
                      </pic:pic>
                    </a:graphicData>
                  </a:graphic>
                </wp:inline>
              </w:drawing>
            </w:r>
            <w:r>
              <w:t>39.71%</w:t>
            </w:r>
          </w:p>
        </w:tc>
      </w:tr>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FFFFFF"/>
            <w:vAlign w:val="center"/>
          </w:tcPr>
          <w:p>
            <w:r>
              <w:t>资金不足</w:t>
            </w:r>
          </w:p>
        </w:tc>
        <w:tc>
          <w:tcPr>
            <w:tcW w:w="0" w:type="auto"/>
            <w:shd w:val="clear" w:color="auto" w:fill="FFFFFF"/>
            <w:vAlign w:val="center"/>
          </w:tcPr>
          <w:p>
            <w:pPr>
              <w:jc w:val="center"/>
            </w:pPr>
            <w:r>
              <w:t>70</w:t>
            </w:r>
          </w:p>
        </w:tc>
        <w:tc>
          <w:tcPr>
            <w:tcW w:w="0" w:type="auto"/>
            <w:shd w:val="clear" w:color="auto" w:fill="FFFFFF"/>
            <w:vAlign w:val="center"/>
          </w:tcPr>
          <w:p>
            <w:r>
              <w:drawing>
                <wp:inline distT="0" distB="0" distL="0" distR="0">
                  <wp:extent cx="698500" cy="112395"/>
                  <wp:effectExtent l="19050" t="0" r="635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noChangeArrowheads="1"/>
                          </pic:cNvPicPr>
                        </pic:nvPicPr>
                        <pic:blipFill>
                          <a:blip r:embed="rId22" cstate="print"/>
                          <a:srcRect/>
                          <a:stretch>
                            <a:fillRect/>
                          </a:stretch>
                        </pic:blipFill>
                        <pic:spPr>
                          <a:xfrm>
                            <a:off x="0" y="0"/>
                            <a:ext cx="698500" cy="112395"/>
                          </a:xfrm>
                          <a:prstGeom prst="rect">
                            <a:avLst/>
                          </a:prstGeom>
                          <a:noFill/>
                          <a:ln w="9525">
                            <a:noFill/>
                            <a:miter lim="800000"/>
                            <a:headEnd/>
                            <a:tailEnd/>
                          </a:ln>
                        </pic:spPr>
                      </pic:pic>
                    </a:graphicData>
                  </a:graphic>
                </wp:inline>
              </w:drawing>
            </w:r>
            <w:r>
              <w:drawing>
                <wp:inline distT="0" distB="0" distL="0" distR="0">
                  <wp:extent cx="655320" cy="112395"/>
                  <wp:effectExtent l="1905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noChangeArrowheads="1"/>
                          </pic:cNvPicPr>
                        </pic:nvPicPr>
                        <pic:blipFill>
                          <a:blip r:embed="rId23" cstate="print"/>
                          <a:srcRect/>
                          <a:stretch>
                            <a:fillRect/>
                          </a:stretch>
                        </pic:blipFill>
                        <pic:spPr>
                          <a:xfrm>
                            <a:off x="0" y="0"/>
                            <a:ext cx="655320" cy="112395"/>
                          </a:xfrm>
                          <a:prstGeom prst="rect">
                            <a:avLst/>
                          </a:prstGeom>
                          <a:noFill/>
                          <a:ln w="9525">
                            <a:noFill/>
                            <a:miter lim="800000"/>
                            <a:headEnd/>
                            <a:tailEnd/>
                          </a:ln>
                        </pic:spPr>
                      </pic:pic>
                    </a:graphicData>
                  </a:graphic>
                </wp:inline>
              </w:drawing>
            </w:r>
            <w:r>
              <w:t>51.47%</w:t>
            </w:r>
          </w:p>
        </w:tc>
      </w:tr>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F9F9F9"/>
            <w:vAlign w:val="center"/>
          </w:tcPr>
          <w:p>
            <w:r>
              <w:t>信息不畅</w:t>
            </w:r>
          </w:p>
        </w:tc>
        <w:tc>
          <w:tcPr>
            <w:tcW w:w="0" w:type="auto"/>
            <w:shd w:val="clear" w:color="auto" w:fill="F9F9F9"/>
            <w:vAlign w:val="center"/>
          </w:tcPr>
          <w:p>
            <w:pPr>
              <w:jc w:val="center"/>
            </w:pPr>
            <w:r>
              <w:t>36</w:t>
            </w:r>
          </w:p>
        </w:tc>
        <w:tc>
          <w:tcPr>
            <w:tcW w:w="0" w:type="auto"/>
            <w:shd w:val="clear" w:color="auto" w:fill="F9F9F9"/>
            <w:vAlign w:val="center"/>
          </w:tcPr>
          <w:p>
            <w:r>
              <w:drawing>
                <wp:inline distT="0" distB="0" distL="0" distR="0">
                  <wp:extent cx="353695" cy="112395"/>
                  <wp:effectExtent l="19050" t="0" r="825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noChangeArrowheads="1"/>
                          </pic:cNvPicPr>
                        </pic:nvPicPr>
                        <pic:blipFill>
                          <a:blip r:embed="rId24" cstate="print"/>
                          <a:srcRect/>
                          <a:stretch>
                            <a:fillRect/>
                          </a:stretch>
                        </pic:blipFill>
                        <pic:spPr>
                          <a:xfrm>
                            <a:off x="0" y="0"/>
                            <a:ext cx="353695" cy="112395"/>
                          </a:xfrm>
                          <a:prstGeom prst="rect">
                            <a:avLst/>
                          </a:prstGeom>
                          <a:noFill/>
                          <a:ln w="9525">
                            <a:noFill/>
                            <a:miter lim="800000"/>
                            <a:headEnd/>
                            <a:tailEnd/>
                          </a:ln>
                        </pic:spPr>
                      </pic:pic>
                    </a:graphicData>
                  </a:graphic>
                </wp:inline>
              </w:drawing>
            </w:r>
            <w:r>
              <w:drawing>
                <wp:inline distT="0" distB="0" distL="0" distR="0">
                  <wp:extent cx="1000760" cy="112395"/>
                  <wp:effectExtent l="19050" t="0" r="889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noChangeArrowheads="1"/>
                          </pic:cNvPicPr>
                        </pic:nvPicPr>
                        <pic:blipFill>
                          <a:blip r:embed="rId25" cstate="print"/>
                          <a:srcRect/>
                          <a:stretch>
                            <a:fillRect/>
                          </a:stretch>
                        </pic:blipFill>
                        <pic:spPr>
                          <a:xfrm>
                            <a:off x="0" y="0"/>
                            <a:ext cx="1000760" cy="112395"/>
                          </a:xfrm>
                          <a:prstGeom prst="rect">
                            <a:avLst/>
                          </a:prstGeom>
                          <a:noFill/>
                          <a:ln w="9525">
                            <a:noFill/>
                            <a:miter lim="800000"/>
                            <a:headEnd/>
                            <a:tailEnd/>
                          </a:ln>
                        </pic:spPr>
                      </pic:pic>
                    </a:graphicData>
                  </a:graphic>
                </wp:inline>
              </w:drawing>
            </w:r>
            <w:r>
              <w:t>26.47%</w:t>
            </w:r>
          </w:p>
        </w:tc>
      </w:tr>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FFFFFF"/>
            <w:vAlign w:val="center"/>
          </w:tcPr>
          <w:p>
            <w:r>
              <w:t>设备不够先进</w:t>
            </w:r>
          </w:p>
        </w:tc>
        <w:tc>
          <w:tcPr>
            <w:tcW w:w="0" w:type="auto"/>
            <w:shd w:val="clear" w:color="auto" w:fill="FFFFFF"/>
            <w:vAlign w:val="center"/>
          </w:tcPr>
          <w:p>
            <w:pPr>
              <w:jc w:val="center"/>
            </w:pPr>
            <w:r>
              <w:t>27</w:t>
            </w:r>
          </w:p>
        </w:tc>
        <w:tc>
          <w:tcPr>
            <w:tcW w:w="0" w:type="auto"/>
            <w:shd w:val="clear" w:color="auto" w:fill="FFFFFF"/>
            <w:vAlign w:val="center"/>
          </w:tcPr>
          <w:p>
            <w:r>
              <w:drawing>
                <wp:inline distT="0" distB="0" distL="0" distR="0">
                  <wp:extent cx="267335" cy="112395"/>
                  <wp:effectExtent l="1905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noChangeArrowheads="1"/>
                          </pic:cNvPicPr>
                        </pic:nvPicPr>
                        <pic:blipFill>
                          <a:blip r:embed="rId14" cstate="print"/>
                          <a:srcRect/>
                          <a:stretch>
                            <a:fillRect/>
                          </a:stretch>
                        </pic:blipFill>
                        <pic:spPr>
                          <a:xfrm>
                            <a:off x="0" y="0"/>
                            <a:ext cx="267335" cy="112395"/>
                          </a:xfrm>
                          <a:prstGeom prst="rect">
                            <a:avLst/>
                          </a:prstGeom>
                          <a:noFill/>
                          <a:ln w="9525">
                            <a:noFill/>
                            <a:miter lim="800000"/>
                            <a:headEnd/>
                            <a:tailEnd/>
                          </a:ln>
                        </pic:spPr>
                      </pic:pic>
                    </a:graphicData>
                  </a:graphic>
                </wp:inline>
              </w:drawing>
            </w:r>
            <w:r>
              <w:drawing>
                <wp:inline distT="0" distB="0" distL="0" distR="0">
                  <wp:extent cx="1087120" cy="112395"/>
                  <wp:effectExtent l="1905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noChangeArrowheads="1"/>
                          </pic:cNvPicPr>
                        </pic:nvPicPr>
                        <pic:blipFill>
                          <a:blip r:embed="rId15" cstate="print"/>
                          <a:srcRect/>
                          <a:stretch>
                            <a:fillRect/>
                          </a:stretch>
                        </pic:blipFill>
                        <pic:spPr>
                          <a:xfrm>
                            <a:off x="0" y="0"/>
                            <a:ext cx="1087120" cy="112395"/>
                          </a:xfrm>
                          <a:prstGeom prst="rect">
                            <a:avLst/>
                          </a:prstGeom>
                          <a:noFill/>
                          <a:ln w="9525">
                            <a:noFill/>
                            <a:miter lim="800000"/>
                            <a:headEnd/>
                            <a:tailEnd/>
                          </a:ln>
                        </pic:spPr>
                      </pic:pic>
                    </a:graphicData>
                  </a:graphic>
                </wp:inline>
              </w:drawing>
            </w:r>
            <w:r>
              <w:t>19.85%</w:t>
            </w:r>
          </w:p>
        </w:tc>
      </w:tr>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PrEx>
        <w:trPr>
          <w:trHeight w:val="500" w:hRule="atLeast"/>
        </w:trPr>
        <w:tc>
          <w:tcPr>
            <w:tcW w:w="0" w:type="auto"/>
            <w:shd w:val="clear" w:color="auto" w:fill="F9F9F9"/>
            <w:vAlign w:val="center"/>
          </w:tcPr>
          <w:p>
            <w:r>
              <w:t>政府扶持力度不足</w:t>
            </w:r>
          </w:p>
        </w:tc>
        <w:tc>
          <w:tcPr>
            <w:tcW w:w="0" w:type="auto"/>
            <w:shd w:val="clear" w:color="auto" w:fill="F9F9F9"/>
            <w:vAlign w:val="center"/>
          </w:tcPr>
          <w:p>
            <w:pPr>
              <w:jc w:val="center"/>
            </w:pPr>
            <w:r>
              <w:t>56</w:t>
            </w:r>
          </w:p>
        </w:tc>
        <w:tc>
          <w:tcPr>
            <w:tcW w:w="0" w:type="auto"/>
            <w:shd w:val="clear" w:color="auto" w:fill="F9F9F9"/>
            <w:vAlign w:val="center"/>
          </w:tcPr>
          <w:p>
            <w:r>
              <w:drawing>
                <wp:inline distT="0" distB="0" distL="0" distR="0">
                  <wp:extent cx="551815" cy="112395"/>
                  <wp:effectExtent l="19050" t="0" r="635"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noChangeArrowheads="1"/>
                          </pic:cNvPicPr>
                        </pic:nvPicPr>
                        <pic:blipFill>
                          <a:blip r:embed="rId26" cstate="print"/>
                          <a:srcRect/>
                          <a:stretch>
                            <a:fillRect/>
                          </a:stretch>
                        </pic:blipFill>
                        <pic:spPr>
                          <a:xfrm>
                            <a:off x="0" y="0"/>
                            <a:ext cx="551815" cy="112395"/>
                          </a:xfrm>
                          <a:prstGeom prst="rect">
                            <a:avLst/>
                          </a:prstGeom>
                          <a:noFill/>
                          <a:ln w="9525">
                            <a:noFill/>
                            <a:miter lim="800000"/>
                            <a:headEnd/>
                            <a:tailEnd/>
                          </a:ln>
                        </pic:spPr>
                      </pic:pic>
                    </a:graphicData>
                  </a:graphic>
                </wp:inline>
              </w:drawing>
            </w:r>
            <w:r>
              <w:drawing>
                <wp:inline distT="0" distB="0" distL="0" distR="0">
                  <wp:extent cx="802005" cy="112395"/>
                  <wp:effectExtent l="1905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noChangeArrowheads="1"/>
                          </pic:cNvPicPr>
                        </pic:nvPicPr>
                        <pic:blipFill>
                          <a:blip r:embed="rId27" cstate="print"/>
                          <a:srcRect/>
                          <a:stretch>
                            <a:fillRect/>
                          </a:stretch>
                        </pic:blipFill>
                        <pic:spPr>
                          <a:xfrm>
                            <a:off x="0" y="0"/>
                            <a:ext cx="802005" cy="112395"/>
                          </a:xfrm>
                          <a:prstGeom prst="rect">
                            <a:avLst/>
                          </a:prstGeom>
                          <a:noFill/>
                          <a:ln w="9525">
                            <a:noFill/>
                            <a:miter lim="800000"/>
                            <a:headEnd/>
                            <a:tailEnd/>
                          </a:ln>
                        </pic:spPr>
                      </pic:pic>
                    </a:graphicData>
                  </a:graphic>
                </wp:inline>
              </w:drawing>
            </w:r>
            <w:r>
              <w:t>41.18%</w:t>
            </w:r>
          </w:p>
        </w:tc>
      </w:tr>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E0E0E0"/>
            <w:vAlign w:val="center"/>
          </w:tcPr>
          <w:p>
            <w:r>
              <w:t>本题有效填写人次</w:t>
            </w:r>
          </w:p>
        </w:tc>
        <w:tc>
          <w:tcPr>
            <w:tcW w:w="0" w:type="auto"/>
            <w:shd w:val="clear" w:color="auto" w:fill="E0E0E0"/>
            <w:vAlign w:val="center"/>
          </w:tcPr>
          <w:p>
            <w:pPr>
              <w:jc w:val="center"/>
            </w:pPr>
            <w:r>
              <w:t>136</w:t>
            </w:r>
          </w:p>
        </w:tc>
        <w:tc>
          <w:tcPr>
            <w:tcW w:w="0" w:type="auto"/>
            <w:shd w:val="clear" w:color="auto" w:fill="E0E0E0"/>
            <w:vAlign w:val="center"/>
          </w:tcPr>
          <w:p/>
        </w:tc>
      </w:tr>
    </w:tbl>
    <w:p/>
    <w:p/>
    <w:p>
      <w:pPr>
        <w:rPr>
          <w:color w:val="0066FF"/>
        </w:rPr>
      </w:pPr>
      <w:r>
        <w:rPr>
          <w:color w:val="000000"/>
          <w:sz w:val="24"/>
        </w:rPr>
        <w:t>第</w:t>
      </w:r>
      <w:r>
        <w:rPr>
          <w:rFonts w:hint="eastAsia"/>
          <w:color w:val="000000"/>
          <w:sz w:val="24"/>
        </w:rPr>
        <w:t>4</w:t>
      </w:r>
      <w:r>
        <w:rPr>
          <w:color w:val="000000"/>
          <w:sz w:val="24"/>
        </w:rPr>
        <w:t xml:space="preserve">题   贵单位希望获取到哪些科技创新服务？   </w:t>
      </w:r>
    </w:p>
    <w:tbl>
      <w:tblPr>
        <w:tblStyle w:val="12"/>
        <w:tblW w:w="5000" w:type="pct"/>
        <w:tblInd w:w="0" w:type="dxa"/>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Layout w:type="autofit"/>
        <w:tblCellMar>
          <w:top w:w="0" w:type="dxa"/>
          <w:left w:w="108" w:type="dxa"/>
          <w:bottom w:w="0" w:type="dxa"/>
          <w:right w:w="108" w:type="dxa"/>
        </w:tblCellMar>
      </w:tblPr>
      <w:tblGrid>
        <w:gridCol w:w="2887"/>
        <w:gridCol w:w="968"/>
        <w:gridCol w:w="4667"/>
      </w:tblGrid>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E0E0E0"/>
            <w:vAlign w:val="center"/>
          </w:tcPr>
          <w:p>
            <w:pPr>
              <w:jc w:val="center"/>
            </w:pPr>
            <w:r>
              <w:t>选项</w:t>
            </w:r>
          </w:p>
        </w:tc>
        <w:tc>
          <w:tcPr>
            <w:tcW w:w="0" w:type="auto"/>
            <w:shd w:val="clear" w:color="auto" w:fill="E0E0E0"/>
            <w:vAlign w:val="center"/>
          </w:tcPr>
          <w:p>
            <w:pPr>
              <w:jc w:val="center"/>
            </w:pPr>
            <w:r>
              <w:t>小计</w:t>
            </w:r>
          </w:p>
        </w:tc>
        <w:tc>
          <w:tcPr>
            <w:tcW w:w="0" w:type="auto"/>
            <w:shd w:val="clear" w:color="auto" w:fill="E0E0E0"/>
            <w:vAlign w:val="center"/>
          </w:tcPr>
          <w:p>
            <w:pPr>
              <w:jc w:val="center"/>
            </w:pPr>
            <w:r>
              <w:t>比例</w:t>
            </w:r>
          </w:p>
        </w:tc>
      </w:tr>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FFFFFF"/>
            <w:vAlign w:val="center"/>
          </w:tcPr>
          <w:p>
            <w:r>
              <w:t>科技查新</w:t>
            </w:r>
          </w:p>
        </w:tc>
        <w:tc>
          <w:tcPr>
            <w:tcW w:w="0" w:type="auto"/>
            <w:shd w:val="clear" w:color="auto" w:fill="FFFFFF"/>
            <w:vAlign w:val="center"/>
          </w:tcPr>
          <w:p>
            <w:pPr>
              <w:jc w:val="center"/>
            </w:pPr>
            <w:r>
              <w:t>64</w:t>
            </w:r>
          </w:p>
        </w:tc>
        <w:tc>
          <w:tcPr>
            <w:tcW w:w="0" w:type="auto"/>
            <w:shd w:val="clear" w:color="auto" w:fill="FFFFFF"/>
            <w:vAlign w:val="center"/>
          </w:tcPr>
          <w:p>
            <w:r>
              <w:drawing>
                <wp:inline distT="0" distB="0" distL="0" distR="0">
                  <wp:extent cx="629920" cy="112395"/>
                  <wp:effectExtent l="1905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noChangeArrowheads="1"/>
                          </pic:cNvPicPr>
                        </pic:nvPicPr>
                        <pic:blipFill>
                          <a:blip r:embed="rId28" cstate="print"/>
                          <a:srcRect/>
                          <a:stretch>
                            <a:fillRect/>
                          </a:stretch>
                        </pic:blipFill>
                        <pic:spPr>
                          <a:xfrm>
                            <a:off x="0" y="0"/>
                            <a:ext cx="629920" cy="112395"/>
                          </a:xfrm>
                          <a:prstGeom prst="rect">
                            <a:avLst/>
                          </a:prstGeom>
                          <a:noFill/>
                          <a:ln w="9525">
                            <a:noFill/>
                            <a:miter lim="800000"/>
                            <a:headEnd/>
                            <a:tailEnd/>
                          </a:ln>
                        </pic:spPr>
                      </pic:pic>
                    </a:graphicData>
                  </a:graphic>
                </wp:inline>
              </w:drawing>
            </w:r>
            <w:r>
              <w:drawing>
                <wp:inline distT="0" distB="0" distL="0" distR="0">
                  <wp:extent cx="724535" cy="112395"/>
                  <wp:effectExtent l="1905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noChangeArrowheads="1"/>
                          </pic:cNvPicPr>
                        </pic:nvPicPr>
                        <pic:blipFill>
                          <a:blip r:embed="rId29" cstate="print"/>
                          <a:srcRect/>
                          <a:stretch>
                            <a:fillRect/>
                          </a:stretch>
                        </pic:blipFill>
                        <pic:spPr>
                          <a:xfrm>
                            <a:off x="0" y="0"/>
                            <a:ext cx="724535" cy="112395"/>
                          </a:xfrm>
                          <a:prstGeom prst="rect">
                            <a:avLst/>
                          </a:prstGeom>
                          <a:noFill/>
                          <a:ln w="9525">
                            <a:noFill/>
                            <a:miter lim="800000"/>
                            <a:headEnd/>
                            <a:tailEnd/>
                          </a:ln>
                        </pic:spPr>
                      </pic:pic>
                    </a:graphicData>
                  </a:graphic>
                </wp:inline>
              </w:drawing>
            </w:r>
            <w:r>
              <w:t>47.06%</w:t>
            </w:r>
          </w:p>
        </w:tc>
      </w:tr>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F9F9F9"/>
            <w:vAlign w:val="center"/>
          </w:tcPr>
          <w:p>
            <w:r>
              <w:t>创业孵化指导</w:t>
            </w:r>
          </w:p>
        </w:tc>
        <w:tc>
          <w:tcPr>
            <w:tcW w:w="0" w:type="auto"/>
            <w:shd w:val="clear" w:color="auto" w:fill="F9F9F9"/>
            <w:vAlign w:val="center"/>
          </w:tcPr>
          <w:p>
            <w:pPr>
              <w:jc w:val="center"/>
            </w:pPr>
            <w:r>
              <w:t>40</w:t>
            </w:r>
          </w:p>
        </w:tc>
        <w:tc>
          <w:tcPr>
            <w:tcW w:w="0" w:type="auto"/>
            <w:shd w:val="clear" w:color="auto" w:fill="F9F9F9"/>
            <w:vAlign w:val="center"/>
          </w:tcPr>
          <w:p>
            <w:r>
              <w:drawing>
                <wp:inline distT="0" distB="0" distL="0" distR="0">
                  <wp:extent cx="387985" cy="112395"/>
                  <wp:effectExtent l="1905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noChangeArrowheads="1"/>
                          </pic:cNvPicPr>
                        </pic:nvPicPr>
                        <pic:blipFill>
                          <a:blip r:embed="rId30" cstate="print"/>
                          <a:srcRect/>
                          <a:stretch>
                            <a:fillRect/>
                          </a:stretch>
                        </pic:blipFill>
                        <pic:spPr>
                          <a:xfrm>
                            <a:off x="0" y="0"/>
                            <a:ext cx="387985" cy="112395"/>
                          </a:xfrm>
                          <a:prstGeom prst="rect">
                            <a:avLst/>
                          </a:prstGeom>
                          <a:noFill/>
                          <a:ln w="9525">
                            <a:noFill/>
                            <a:miter lim="800000"/>
                            <a:headEnd/>
                            <a:tailEnd/>
                          </a:ln>
                        </pic:spPr>
                      </pic:pic>
                    </a:graphicData>
                  </a:graphic>
                </wp:inline>
              </w:drawing>
            </w:r>
            <w:r>
              <w:drawing>
                <wp:inline distT="0" distB="0" distL="0" distR="0">
                  <wp:extent cx="966470" cy="112395"/>
                  <wp:effectExtent l="19050" t="0" r="508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noChangeArrowheads="1"/>
                          </pic:cNvPicPr>
                        </pic:nvPicPr>
                        <pic:blipFill>
                          <a:blip r:embed="rId31" cstate="print"/>
                          <a:srcRect/>
                          <a:stretch>
                            <a:fillRect/>
                          </a:stretch>
                        </pic:blipFill>
                        <pic:spPr>
                          <a:xfrm>
                            <a:off x="0" y="0"/>
                            <a:ext cx="966470" cy="112395"/>
                          </a:xfrm>
                          <a:prstGeom prst="rect">
                            <a:avLst/>
                          </a:prstGeom>
                          <a:noFill/>
                          <a:ln w="9525">
                            <a:noFill/>
                            <a:miter lim="800000"/>
                            <a:headEnd/>
                            <a:tailEnd/>
                          </a:ln>
                        </pic:spPr>
                      </pic:pic>
                    </a:graphicData>
                  </a:graphic>
                </wp:inline>
              </w:drawing>
            </w:r>
            <w:r>
              <w:t>29.41%</w:t>
            </w:r>
          </w:p>
        </w:tc>
      </w:tr>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FFFFFF"/>
            <w:vAlign w:val="center"/>
          </w:tcPr>
          <w:p>
            <w:r>
              <w:t>科技成果转移</w:t>
            </w:r>
          </w:p>
        </w:tc>
        <w:tc>
          <w:tcPr>
            <w:tcW w:w="0" w:type="auto"/>
            <w:shd w:val="clear" w:color="auto" w:fill="FFFFFF"/>
            <w:vAlign w:val="center"/>
          </w:tcPr>
          <w:p>
            <w:pPr>
              <w:jc w:val="center"/>
            </w:pPr>
            <w:r>
              <w:t>73</w:t>
            </w:r>
          </w:p>
        </w:tc>
        <w:tc>
          <w:tcPr>
            <w:tcW w:w="0" w:type="auto"/>
            <w:shd w:val="clear" w:color="auto" w:fill="FFFFFF"/>
            <w:vAlign w:val="center"/>
          </w:tcPr>
          <w:p>
            <w:r>
              <w:drawing>
                <wp:inline distT="0" distB="0" distL="0" distR="0">
                  <wp:extent cx="724535" cy="112395"/>
                  <wp:effectExtent l="1905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noChangeArrowheads="1"/>
                          </pic:cNvPicPr>
                        </pic:nvPicPr>
                        <pic:blipFill>
                          <a:blip r:embed="rId32" cstate="print"/>
                          <a:srcRect/>
                          <a:stretch>
                            <a:fillRect/>
                          </a:stretch>
                        </pic:blipFill>
                        <pic:spPr>
                          <a:xfrm>
                            <a:off x="0" y="0"/>
                            <a:ext cx="724535" cy="112395"/>
                          </a:xfrm>
                          <a:prstGeom prst="rect">
                            <a:avLst/>
                          </a:prstGeom>
                          <a:noFill/>
                          <a:ln w="9525">
                            <a:noFill/>
                            <a:miter lim="800000"/>
                            <a:headEnd/>
                            <a:tailEnd/>
                          </a:ln>
                        </pic:spPr>
                      </pic:pic>
                    </a:graphicData>
                  </a:graphic>
                </wp:inline>
              </w:drawing>
            </w:r>
            <w:r>
              <w:drawing>
                <wp:inline distT="0" distB="0" distL="0" distR="0">
                  <wp:extent cx="629920" cy="112395"/>
                  <wp:effectExtent l="1905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noChangeArrowheads="1"/>
                          </pic:cNvPicPr>
                        </pic:nvPicPr>
                        <pic:blipFill>
                          <a:blip r:embed="rId33" cstate="print"/>
                          <a:srcRect/>
                          <a:stretch>
                            <a:fillRect/>
                          </a:stretch>
                        </pic:blipFill>
                        <pic:spPr>
                          <a:xfrm>
                            <a:off x="0" y="0"/>
                            <a:ext cx="629920" cy="112395"/>
                          </a:xfrm>
                          <a:prstGeom prst="rect">
                            <a:avLst/>
                          </a:prstGeom>
                          <a:noFill/>
                          <a:ln w="9525">
                            <a:noFill/>
                            <a:miter lim="800000"/>
                            <a:headEnd/>
                            <a:tailEnd/>
                          </a:ln>
                        </pic:spPr>
                      </pic:pic>
                    </a:graphicData>
                  </a:graphic>
                </wp:inline>
              </w:drawing>
            </w:r>
            <w:r>
              <w:t>53.68%</w:t>
            </w:r>
          </w:p>
        </w:tc>
      </w:tr>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F9F9F9"/>
            <w:vAlign w:val="center"/>
          </w:tcPr>
          <w:p>
            <w:r>
              <w:t>科技研究开发</w:t>
            </w:r>
          </w:p>
        </w:tc>
        <w:tc>
          <w:tcPr>
            <w:tcW w:w="0" w:type="auto"/>
            <w:shd w:val="clear" w:color="auto" w:fill="F9F9F9"/>
            <w:vAlign w:val="center"/>
          </w:tcPr>
          <w:p>
            <w:pPr>
              <w:jc w:val="center"/>
            </w:pPr>
            <w:r>
              <w:t>86</w:t>
            </w:r>
          </w:p>
        </w:tc>
        <w:tc>
          <w:tcPr>
            <w:tcW w:w="0" w:type="auto"/>
            <w:shd w:val="clear" w:color="auto" w:fill="F9F9F9"/>
            <w:vAlign w:val="center"/>
          </w:tcPr>
          <w:p>
            <w:r>
              <w:drawing>
                <wp:inline distT="0" distB="0" distL="0" distR="0">
                  <wp:extent cx="845185" cy="112395"/>
                  <wp:effectExtent l="1905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noChangeArrowheads="1"/>
                          </pic:cNvPicPr>
                        </pic:nvPicPr>
                        <pic:blipFill>
                          <a:blip r:embed="rId34" cstate="print"/>
                          <a:srcRect/>
                          <a:stretch>
                            <a:fillRect/>
                          </a:stretch>
                        </pic:blipFill>
                        <pic:spPr>
                          <a:xfrm>
                            <a:off x="0" y="0"/>
                            <a:ext cx="845185" cy="112395"/>
                          </a:xfrm>
                          <a:prstGeom prst="rect">
                            <a:avLst/>
                          </a:prstGeom>
                          <a:noFill/>
                          <a:ln w="9525">
                            <a:noFill/>
                            <a:miter lim="800000"/>
                            <a:headEnd/>
                            <a:tailEnd/>
                          </a:ln>
                        </pic:spPr>
                      </pic:pic>
                    </a:graphicData>
                  </a:graphic>
                </wp:inline>
              </w:drawing>
            </w:r>
            <w:r>
              <w:drawing>
                <wp:inline distT="0" distB="0" distL="0" distR="0">
                  <wp:extent cx="509270" cy="112395"/>
                  <wp:effectExtent l="19050" t="0" r="508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noChangeArrowheads="1"/>
                          </pic:cNvPicPr>
                        </pic:nvPicPr>
                        <pic:blipFill>
                          <a:blip r:embed="rId35" cstate="print"/>
                          <a:srcRect/>
                          <a:stretch>
                            <a:fillRect/>
                          </a:stretch>
                        </pic:blipFill>
                        <pic:spPr>
                          <a:xfrm>
                            <a:off x="0" y="0"/>
                            <a:ext cx="509270" cy="112395"/>
                          </a:xfrm>
                          <a:prstGeom prst="rect">
                            <a:avLst/>
                          </a:prstGeom>
                          <a:noFill/>
                          <a:ln w="9525">
                            <a:noFill/>
                            <a:miter lim="800000"/>
                            <a:headEnd/>
                            <a:tailEnd/>
                          </a:ln>
                        </pic:spPr>
                      </pic:pic>
                    </a:graphicData>
                  </a:graphic>
                </wp:inline>
              </w:drawing>
            </w:r>
            <w:r>
              <w:t>63.24%</w:t>
            </w:r>
          </w:p>
        </w:tc>
      </w:tr>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FFFFFF"/>
            <w:vAlign w:val="center"/>
          </w:tcPr>
          <w:p>
            <w:r>
              <w:t>科技咨询与培训</w:t>
            </w:r>
          </w:p>
        </w:tc>
        <w:tc>
          <w:tcPr>
            <w:tcW w:w="0" w:type="auto"/>
            <w:shd w:val="clear" w:color="auto" w:fill="FFFFFF"/>
            <w:vAlign w:val="center"/>
          </w:tcPr>
          <w:p>
            <w:pPr>
              <w:jc w:val="center"/>
            </w:pPr>
            <w:r>
              <w:t>88</w:t>
            </w:r>
          </w:p>
        </w:tc>
        <w:tc>
          <w:tcPr>
            <w:tcW w:w="0" w:type="auto"/>
            <w:shd w:val="clear" w:color="auto" w:fill="FFFFFF"/>
            <w:vAlign w:val="center"/>
          </w:tcPr>
          <w:p>
            <w:r>
              <w:drawing>
                <wp:inline distT="0" distB="0" distL="0" distR="0">
                  <wp:extent cx="862330" cy="112395"/>
                  <wp:effectExtent l="1905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noChangeArrowheads="1"/>
                          </pic:cNvPicPr>
                        </pic:nvPicPr>
                        <pic:blipFill>
                          <a:blip r:embed="rId36" cstate="print"/>
                          <a:srcRect/>
                          <a:stretch>
                            <a:fillRect/>
                          </a:stretch>
                        </pic:blipFill>
                        <pic:spPr>
                          <a:xfrm>
                            <a:off x="0" y="0"/>
                            <a:ext cx="862330" cy="112395"/>
                          </a:xfrm>
                          <a:prstGeom prst="rect">
                            <a:avLst/>
                          </a:prstGeom>
                          <a:noFill/>
                          <a:ln w="9525">
                            <a:noFill/>
                            <a:miter lim="800000"/>
                            <a:headEnd/>
                            <a:tailEnd/>
                          </a:ln>
                        </pic:spPr>
                      </pic:pic>
                    </a:graphicData>
                  </a:graphic>
                </wp:inline>
              </w:drawing>
            </w:r>
            <w:r>
              <w:drawing>
                <wp:inline distT="0" distB="0" distL="0" distR="0">
                  <wp:extent cx="483235" cy="112395"/>
                  <wp:effectExtent l="19050" t="0" r="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noChangeArrowheads="1"/>
                          </pic:cNvPicPr>
                        </pic:nvPicPr>
                        <pic:blipFill>
                          <a:blip r:embed="rId37" cstate="print"/>
                          <a:srcRect/>
                          <a:stretch>
                            <a:fillRect/>
                          </a:stretch>
                        </pic:blipFill>
                        <pic:spPr>
                          <a:xfrm>
                            <a:off x="0" y="0"/>
                            <a:ext cx="483235" cy="112395"/>
                          </a:xfrm>
                          <a:prstGeom prst="rect">
                            <a:avLst/>
                          </a:prstGeom>
                          <a:noFill/>
                          <a:ln w="9525">
                            <a:noFill/>
                            <a:miter lim="800000"/>
                            <a:headEnd/>
                            <a:tailEnd/>
                          </a:ln>
                        </pic:spPr>
                      </pic:pic>
                    </a:graphicData>
                  </a:graphic>
                </wp:inline>
              </w:drawing>
            </w:r>
            <w:r>
              <w:t>64.71%</w:t>
            </w:r>
          </w:p>
        </w:tc>
      </w:tr>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F9F9F9"/>
            <w:vAlign w:val="center"/>
          </w:tcPr>
          <w:p>
            <w:r>
              <w:t>其他</w:t>
            </w:r>
          </w:p>
        </w:tc>
        <w:tc>
          <w:tcPr>
            <w:tcW w:w="0" w:type="auto"/>
            <w:shd w:val="clear" w:color="auto" w:fill="F9F9F9"/>
            <w:vAlign w:val="center"/>
          </w:tcPr>
          <w:p>
            <w:pPr>
              <w:jc w:val="center"/>
            </w:pPr>
            <w:r>
              <w:t>5</w:t>
            </w:r>
          </w:p>
        </w:tc>
        <w:tc>
          <w:tcPr>
            <w:tcW w:w="0" w:type="auto"/>
            <w:shd w:val="clear" w:color="auto" w:fill="F9F9F9"/>
            <w:vAlign w:val="center"/>
          </w:tcPr>
          <w:p>
            <w:r>
              <w:drawing>
                <wp:inline distT="0" distB="0" distL="0" distR="0">
                  <wp:extent cx="43180" cy="112395"/>
                  <wp:effectExtent l="19050" t="0" r="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noChangeArrowheads="1"/>
                          </pic:cNvPicPr>
                        </pic:nvPicPr>
                        <pic:blipFill>
                          <a:blip r:embed="rId38" cstate="print"/>
                          <a:srcRect/>
                          <a:stretch>
                            <a:fillRect/>
                          </a:stretch>
                        </pic:blipFill>
                        <pic:spPr>
                          <a:xfrm>
                            <a:off x="0" y="0"/>
                            <a:ext cx="43180" cy="112395"/>
                          </a:xfrm>
                          <a:prstGeom prst="rect">
                            <a:avLst/>
                          </a:prstGeom>
                          <a:noFill/>
                          <a:ln w="9525">
                            <a:noFill/>
                            <a:miter lim="800000"/>
                            <a:headEnd/>
                            <a:tailEnd/>
                          </a:ln>
                        </pic:spPr>
                      </pic:pic>
                    </a:graphicData>
                  </a:graphic>
                </wp:inline>
              </w:drawing>
            </w:r>
            <w:r>
              <w:drawing>
                <wp:inline distT="0" distB="0" distL="0" distR="0">
                  <wp:extent cx="1302385" cy="112395"/>
                  <wp:effectExtent l="1905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noChangeArrowheads="1"/>
                          </pic:cNvPicPr>
                        </pic:nvPicPr>
                        <pic:blipFill>
                          <a:blip r:embed="rId39" cstate="print"/>
                          <a:srcRect/>
                          <a:stretch>
                            <a:fillRect/>
                          </a:stretch>
                        </pic:blipFill>
                        <pic:spPr>
                          <a:xfrm>
                            <a:off x="0" y="0"/>
                            <a:ext cx="1302385" cy="112395"/>
                          </a:xfrm>
                          <a:prstGeom prst="rect">
                            <a:avLst/>
                          </a:prstGeom>
                          <a:noFill/>
                          <a:ln w="9525">
                            <a:noFill/>
                            <a:miter lim="800000"/>
                            <a:headEnd/>
                            <a:tailEnd/>
                          </a:ln>
                        </pic:spPr>
                      </pic:pic>
                    </a:graphicData>
                  </a:graphic>
                </wp:inline>
              </w:drawing>
            </w:r>
            <w:r>
              <w:t>3.68%</w:t>
            </w:r>
          </w:p>
        </w:tc>
      </w:tr>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E0E0E0"/>
            <w:vAlign w:val="center"/>
          </w:tcPr>
          <w:p>
            <w:r>
              <w:t>本题有效填写人次</w:t>
            </w:r>
          </w:p>
        </w:tc>
        <w:tc>
          <w:tcPr>
            <w:tcW w:w="0" w:type="auto"/>
            <w:shd w:val="clear" w:color="auto" w:fill="E0E0E0"/>
            <w:vAlign w:val="center"/>
          </w:tcPr>
          <w:p>
            <w:pPr>
              <w:jc w:val="center"/>
            </w:pPr>
            <w:r>
              <w:t>136</w:t>
            </w:r>
          </w:p>
        </w:tc>
        <w:tc>
          <w:tcPr>
            <w:tcW w:w="0" w:type="auto"/>
            <w:shd w:val="clear" w:color="auto" w:fill="E0E0E0"/>
            <w:vAlign w:val="center"/>
          </w:tcPr>
          <w:p/>
        </w:tc>
      </w:tr>
    </w:tbl>
    <w:p>
      <w:pPr>
        <w:rPr>
          <w:color w:val="666666"/>
        </w:rPr>
      </w:pPr>
    </w:p>
    <w:p>
      <w:r>
        <w:rPr>
          <w:color w:val="000000"/>
          <w:sz w:val="24"/>
        </w:rPr>
        <w:t>第</w:t>
      </w:r>
      <w:r>
        <w:rPr>
          <w:rFonts w:hint="eastAsia"/>
          <w:color w:val="000000"/>
          <w:sz w:val="24"/>
        </w:rPr>
        <w:t>5</w:t>
      </w:r>
      <w:r>
        <w:rPr>
          <w:color w:val="000000"/>
          <w:sz w:val="24"/>
        </w:rPr>
        <w:t xml:space="preserve">题   贵单位是否参与过标准制修订工作？     </w:t>
      </w:r>
    </w:p>
    <w:p>
      <w:pPr>
        <w:rPr>
          <w:color w:val="0066FF"/>
        </w:rPr>
      </w:pPr>
    </w:p>
    <w:tbl>
      <w:tblPr>
        <w:tblStyle w:val="12"/>
        <w:tblW w:w="5000" w:type="pct"/>
        <w:tblInd w:w="0" w:type="dxa"/>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Layout w:type="autofit"/>
        <w:tblCellMar>
          <w:top w:w="0" w:type="dxa"/>
          <w:left w:w="108" w:type="dxa"/>
          <w:bottom w:w="0" w:type="dxa"/>
          <w:right w:w="108" w:type="dxa"/>
        </w:tblCellMar>
      </w:tblPr>
      <w:tblGrid>
        <w:gridCol w:w="2877"/>
        <w:gridCol w:w="965"/>
        <w:gridCol w:w="4680"/>
      </w:tblGrid>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E0E0E0"/>
            <w:vAlign w:val="center"/>
          </w:tcPr>
          <w:p>
            <w:pPr>
              <w:jc w:val="center"/>
            </w:pPr>
            <w:r>
              <w:t>选项</w:t>
            </w:r>
          </w:p>
        </w:tc>
        <w:tc>
          <w:tcPr>
            <w:tcW w:w="0" w:type="auto"/>
            <w:shd w:val="clear" w:color="auto" w:fill="E0E0E0"/>
            <w:vAlign w:val="center"/>
          </w:tcPr>
          <w:p>
            <w:pPr>
              <w:jc w:val="center"/>
            </w:pPr>
            <w:r>
              <w:t>小计</w:t>
            </w:r>
          </w:p>
        </w:tc>
        <w:tc>
          <w:tcPr>
            <w:tcW w:w="0" w:type="auto"/>
            <w:shd w:val="clear" w:color="auto" w:fill="E0E0E0"/>
            <w:vAlign w:val="center"/>
          </w:tcPr>
          <w:p>
            <w:pPr>
              <w:jc w:val="center"/>
            </w:pPr>
            <w:r>
              <w:t>比例</w:t>
            </w:r>
          </w:p>
        </w:tc>
      </w:tr>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FFFFFF"/>
            <w:vAlign w:val="center"/>
          </w:tcPr>
          <w:p>
            <w:r>
              <w:t>国家标准     项</w:t>
            </w:r>
          </w:p>
        </w:tc>
        <w:tc>
          <w:tcPr>
            <w:tcW w:w="0" w:type="auto"/>
            <w:shd w:val="clear" w:color="auto" w:fill="FFFFFF"/>
            <w:vAlign w:val="center"/>
          </w:tcPr>
          <w:p>
            <w:pPr>
              <w:jc w:val="center"/>
            </w:pPr>
            <w:r>
              <w:t>23</w:t>
            </w:r>
          </w:p>
        </w:tc>
        <w:tc>
          <w:tcPr>
            <w:tcW w:w="0" w:type="auto"/>
            <w:shd w:val="clear" w:color="auto" w:fill="FFFFFF"/>
            <w:vAlign w:val="center"/>
          </w:tcPr>
          <w:p>
            <w:r>
              <w:drawing>
                <wp:inline distT="0" distB="0" distL="0" distR="0">
                  <wp:extent cx="224155" cy="112395"/>
                  <wp:effectExtent l="19050" t="0" r="4445"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noChangeArrowheads="1"/>
                          </pic:cNvPicPr>
                        </pic:nvPicPr>
                        <pic:blipFill>
                          <a:blip r:embed="rId40" cstate="print"/>
                          <a:srcRect/>
                          <a:stretch>
                            <a:fillRect/>
                          </a:stretch>
                        </pic:blipFill>
                        <pic:spPr>
                          <a:xfrm>
                            <a:off x="0" y="0"/>
                            <a:ext cx="224155" cy="112395"/>
                          </a:xfrm>
                          <a:prstGeom prst="rect">
                            <a:avLst/>
                          </a:prstGeom>
                          <a:noFill/>
                          <a:ln w="9525">
                            <a:noFill/>
                            <a:miter lim="800000"/>
                            <a:headEnd/>
                            <a:tailEnd/>
                          </a:ln>
                        </pic:spPr>
                      </pic:pic>
                    </a:graphicData>
                  </a:graphic>
                </wp:inline>
              </w:drawing>
            </w:r>
            <w:r>
              <w:drawing>
                <wp:inline distT="0" distB="0" distL="0" distR="0">
                  <wp:extent cx="1121410" cy="112395"/>
                  <wp:effectExtent l="19050" t="0" r="254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noChangeArrowheads="1"/>
                          </pic:cNvPicPr>
                        </pic:nvPicPr>
                        <pic:blipFill>
                          <a:blip r:embed="rId41" cstate="print"/>
                          <a:srcRect/>
                          <a:stretch>
                            <a:fillRect/>
                          </a:stretch>
                        </pic:blipFill>
                        <pic:spPr>
                          <a:xfrm>
                            <a:off x="0" y="0"/>
                            <a:ext cx="1121410" cy="112395"/>
                          </a:xfrm>
                          <a:prstGeom prst="rect">
                            <a:avLst/>
                          </a:prstGeom>
                          <a:noFill/>
                          <a:ln w="9525">
                            <a:noFill/>
                            <a:miter lim="800000"/>
                            <a:headEnd/>
                            <a:tailEnd/>
                          </a:ln>
                        </pic:spPr>
                      </pic:pic>
                    </a:graphicData>
                  </a:graphic>
                </wp:inline>
              </w:drawing>
            </w:r>
            <w:r>
              <w:t>16.91%</w:t>
            </w:r>
          </w:p>
        </w:tc>
      </w:tr>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F9F9F9"/>
            <w:vAlign w:val="center"/>
          </w:tcPr>
          <w:p>
            <w:r>
              <w:t>行业标准    项</w:t>
            </w:r>
          </w:p>
        </w:tc>
        <w:tc>
          <w:tcPr>
            <w:tcW w:w="0" w:type="auto"/>
            <w:shd w:val="clear" w:color="auto" w:fill="F9F9F9"/>
            <w:vAlign w:val="center"/>
          </w:tcPr>
          <w:p>
            <w:pPr>
              <w:jc w:val="center"/>
            </w:pPr>
            <w:r>
              <w:t>16</w:t>
            </w:r>
          </w:p>
        </w:tc>
        <w:tc>
          <w:tcPr>
            <w:tcW w:w="0" w:type="auto"/>
            <w:shd w:val="clear" w:color="auto" w:fill="F9F9F9"/>
            <w:vAlign w:val="center"/>
          </w:tcPr>
          <w:p>
            <w:r>
              <w:drawing>
                <wp:inline distT="0" distB="0" distL="0" distR="0">
                  <wp:extent cx="155575" cy="112395"/>
                  <wp:effectExtent l="1905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noChangeArrowheads="1"/>
                          </pic:cNvPicPr>
                        </pic:nvPicPr>
                        <pic:blipFill>
                          <a:blip r:embed="rId42" cstate="print"/>
                          <a:srcRect/>
                          <a:stretch>
                            <a:fillRect/>
                          </a:stretch>
                        </pic:blipFill>
                        <pic:spPr>
                          <a:xfrm>
                            <a:off x="0" y="0"/>
                            <a:ext cx="155575" cy="112395"/>
                          </a:xfrm>
                          <a:prstGeom prst="rect">
                            <a:avLst/>
                          </a:prstGeom>
                          <a:noFill/>
                          <a:ln w="9525">
                            <a:noFill/>
                            <a:miter lim="800000"/>
                            <a:headEnd/>
                            <a:tailEnd/>
                          </a:ln>
                        </pic:spPr>
                      </pic:pic>
                    </a:graphicData>
                  </a:graphic>
                </wp:inline>
              </w:drawing>
            </w:r>
            <w:r>
              <w:drawing>
                <wp:inline distT="0" distB="0" distL="0" distR="0">
                  <wp:extent cx="1198880" cy="112395"/>
                  <wp:effectExtent l="19050" t="0" r="127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noChangeArrowheads="1"/>
                          </pic:cNvPicPr>
                        </pic:nvPicPr>
                        <pic:blipFill>
                          <a:blip r:embed="rId43" cstate="print"/>
                          <a:srcRect/>
                          <a:stretch>
                            <a:fillRect/>
                          </a:stretch>
                        </pic:blipFill>
                        <pic:spPr>
                          <a:xfrm>
                            <a:off x="0" y="0"/>
                            <a:ext cx="1198880" cy="112395"/>
                          </a:xfrm>
                          <a:prstGeom prst="rect">
                            <a:avLst/>
                          </a:prstGeom>
                          <a:noFill/>
                          <a:ln w="9525">
                            <a:noFill/>
                            <a:miter lim="800000"/>
                            <a:headEnd/>
                            <a:tailEnd/>
                          </a:ln>
                        </pic:spPr>
                      </pic:pic>
                    </a:graphicData>
                  </a:graphic>
                </wp:inline>
              </w:drawing>
            </w:r>
            <w:r>
              <w:t>11.76%</w:t>
            </w:r>
          </w:p>
        </w:tc>
      </w:tr>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FFFFFF"/>
            <w:vAlign w:val="center"/>
          </w:tcPr>
          <w:p>
            <w:r>
              <w:t>地方标准    项</w:t>
            </w:r>
          </w:p>
        </w:tc>
        <w:tc>
          <w:tcPr>
            <w:tcW w:w="0" w:type="auto"/>
            <w:shd w:val="clear" w:color="auto" w:fill="FFFFFF"/>
            <w:vAlign w:val="center"/>
          </w:tcPr>
          <w:p>
            <w:pPr>
              <w:jc w:val="center"/>
            </w:pPr>
            <w:r>
              <w:t>10</w:t>
            </w:r>
          </w:p>
        </w:tc>
        <w:tc>
          <w:tcPr>
            <w:tcW w:w="0" w:type="auto"/>
            <w:shd w:val="clear" w:color="auto" w:fill="FFFFFF"/>
            <w:vAlign w:val="center"/>
          </w:tcPr>
          <w:p>
            <w:r>
              <w:drawing>
                <wp:inline distT="0" distB="0" distL="0" distR="0">
                  <wp:extent cx="94615" cy="112395"/>
                  <wp:effectExtent l="19050" t="0" r="635"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noChangeArrowheads="1"/>
                          </pic:cNvPicPr>
                        </pic:nvPicPr>
                        <pic:blipFill>
                          <a:blip r:embed="rId44" cstate="print"/>
                          <a:srcRect/>
                          <a:stretch>
                            <a:fillRect/>
                          </a:stretch>
                        </pic:blipFill>
                        <pic:spPr>
                          <a:xfrm>
                            <a:off x="0" y="0"/>
                            <a:ext cx="94615" cy="112395"/>
                          </a:xfrm>
                          <a:prstGeom prst="rect">
                            <a:avLst/>
                          </a:prstGeom>
                          <a:noFill/>
                          <a:ln w="9525">
                            <a:noFill/>
                            <a:miter lim="800000"/>
                            <a:headEnd/>
                            <a:tailEnd/>
                          </a:ln>
                        </pic:spPr>
                      </pic:pic>
                    </a:graphicData>
                  </a:graphic>
                </wp:inline>
              </w:drawing>
            </w:r>
            <w:r>
              <w:drawing>
                <wp:inline distT="0" distB="0" distL="0" distR="0">
                  <wp:extent cx="1259205" cy="112395"/>
                  <wp:effectExtent l="19050" t="0" r="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noChangeArrowheads="1"/>
                          </pic:cNvPicPr>
                        </pic:nvPicPr>
                        <pic:blipFill>
                          <a:blip r:embed="rId45" cstate="print"/>
                          <a:srcRect/>
                          <a:stretch>
                            <a:fillRect/>
                          </a:stretch>
                        </pic:blipFill>
                        <pic:spPr>
                          <a:xfrm>
                            <a:off x="0" y="0"/>
                            <a:ext cx="1259205" cy="112395"/>
                          </a:xfrm>
                          <a:prstGeom prst="rect">
                            <a:avLst/>
                          </a:prstGeom>
                          <a:noFill/>
                          <a:ln w="9525">
                            <a:noFill/>
                            <a:miter lim="800000"/>
                            <a:headEnd/>
                            <a:tailEnd/>
                          </a:ln>
                        </pic:spPr>
                      </pic:pic>
                    </a:graphicData>
                  </a:graphic>
                </wp:inline>
              </w:drawing>
            </w:r>
            <w:r>
              <w:t>7.35%</w:t>
            </w:r>
          </w:p>
        </w:tc>
      </w:tr>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F9F9F9"/>
            <w:vAlign w:val="center"/>
          </w:tcPr>
          <w:p>
            <w:r>
              <w:t>团体标准    项</w:t>
            </w:r>
          </w:p>
        </w:tc>
        <w:tc>
          <w:tcPr>
            <w:tcW w:w="0" w:type="auto"/>
            <w:shd w:val="clear" w:color="auto" w:fill="F9F9F9"/>
            <w:vAlign w:val="center"/>
          </w:tcPr>
          <w:p>
            <w:pPr>
              <w:jc w:val="center"/>
            </w:pPr>
            <w:r>
              <w:t>9</w:t>
            </w:r>
          </w:p>
        </w:tc>
        <w:tc>
          <w:tcPr>
            <w:tcW w:w="0" w:type="auto"/>
            <w:shd w:val="clear" w:color="auto" w:fill="F9F9F9"/>
            <w:vAlign w:val="center"/>
          </w:tcPr>
          <w:p>
            <w:r>
              <w:drawing>
                <wp:inline distT="0" distB="0" distL="0" distR="0">
                  <wp:extent cx="86360" cy="112395"/>
                  <wp:effectExtent l="19050" t="0" r="8890"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noChangeArrowheads="1"/>
                          </pic:cNvPicPr>
                        </pic:nvPicPr>
                        <pic:blipFill>
                          <a:blip r:embed="rId46" cstate="print"/>
                          <a:srcRect/>
                          <a:stretch>
                            <a:fillRect/>
                          </a:stretch>
                        </pic:blipFill>
                        <pic:spPr>
                          <a:xfrm>
                            <a:off x="0" y="0"/>
                            <a:ext cx="86360" cy="112395"/>
                          </a:xfrm>
                          <a:prstGeom prst="rect">
                            <a:avLst/>
                          </a:prstGeom>
                          <a:noFill/>
                          <a:ln w="9525">
                            <a:noFill/>
                            <a:miter lim="800000"/>
                            <a:headEnd/>
                            <a:tailEnd/>
                          </a:ln>
                        </pic:spPr>
                      </pic:pic>
                    </a:graphicData>
                  </a:graphic>
                </wp:inline>
              </w:drawing>
            </w:r>
            <w:r>
              <w:drawing>
                <wp:inline distT="0" distB="0" distL="0" distR="0">
                  <wp:extent cx="1268095" cy="112395"/>
                  <wp:effectExtent l="19050" t="0" r="8255"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noChangeArrowheads="1"/>
                          </pic:cNvPicPr>
                        </pic:nvPicPr>
                        <pic:blipFill>
                          <a:blip r:embed="rId47" cstate="print"/>
                          <a:srcRect/>
                          <a:stretch>
                            <a:fillRect/>
                          </a:stretch>
                        </pic:blipFill>
                        <pic:spPr>
                          <a:xfrm>
                            <a:off x="0" y="0"/>
                            <a:ext cx="1268095" cy="112395"/>
                          </a:xfrm>
                          <a:prstGeom prst="rect">
                            <a:avLst/>
                          </a:prstGeom>
                          <a:noFill/>
                          <a:ln w="9525">
                            <a:noFill/>
                            <a:miter lim="800000"/>
                            <a:headEnd/>
                            <a:tailEnd/>
                          </a:ln>
                        </pic:spPr>
                      </pic:pic>
                    </a:graphicData>
                  </a:graphic>
                </wp:inline>
              </w:drawing>
            </w:r>
            <w:r>
              <w:t>6.62%</w:t>
            </w:r>
          </w:p>
        </w:tc>
      </w:tr>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FFFFFF"/>
            <w:vAlign w:val="center"/>
          </w:tcPr>
          <w:p>
            <w:r>
              <w:t>企业标准    项</w:t>
            </w:r>
          </w:p>
        </w:tc>
        <w:tc>
          <w:tcPr>
            <w:tcW w:w="0" w:type="auto"/>
            <w:shd w:val="clear" w:color="auto" w:fill="FFFFFF"/>
            <w:vAlign w:val="center"/>
          </w:tcPr>
          <w:p>
            <w:pPr>
              <w:jc w:val="center"/>
            </w:pPr>
            <w:r>
              <w:t>36</w:t>
            </w:r>
          </w:p>
        </w:tc>
        <w:tc>
          <w:tcPr>
            <w:tcW w:w="0" w:type="auto"/>
            <w:shd w:val="clear" w:color="auto" w:fill="FFFFFF"/>
            <w:vAlign w:val="center"/>
          </w:tcPr>
          <w:p>
            <w:r>
              <w:drawing>
                <wp:inline distT="0" distB="0" distL="0" distR="0">
                  <wp:extent cx="353695" cy="112395"/>
                  <wp:effectExtent l="19050" t="0" r="8255"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noChangeArrowheads="1"/>
                          </pic:cNvPicPr>
                        </pic:nvPicPr>
                        <pic:blipFill>
                          <a:blip r:embed="rId24" cstate="print"/>
                          <a:srcRect/>
                          <a:stretch>
                            <a:fillRect/>
                          </a:stretch>
                        </pic:blipFill>
                        <pic:spPr>
                          <a:xfrm>
                            <a:off x="0" y="0"/>
                            <a:ext cx="353695" cy="112395"/>
                          </a:xfrm>
                          <a:prstGeom prst="rect">
                            <a:avLst/>
                          </a:prstGeom>
                          <a:noFill/>
                          <a:ln w="9525">
                            <a:noFill/>
                            <a:miter lim="800000"/>
                            <a:headEnd/>
                            <a:tailEnd/>
                          </a:ln>
                        </pic:spPr>
                      </pic:pic>
                    </a:graphicData>
                  </a:graphic>
                </wp:inline>
              </w:drawing>
            </w:r>
            <w:r>
              <w:drawing>
                <wp:inline distT="0" distB="0" distL="0" distR="0">
                  <wp:extent cx="1000760" cy="112395"/>
                  <wp:effectExtent l="19050" t="0" r="8890"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noChangeArrowheads="1"/>
                          </pic:cNvPicPr>
                        </pic:nvPicPr>
                        <pic:blipFill>
                          <a:blip r:embed="rId25" cstate="print"/>
                          <a:srcRect/>
                          <a:stretch>
                            <a:fillRect/>
                          </a:stretch>
                        </pic:blipFill>
                        <pic:spPr>
                          <a:xfrm>
                            <a:off x="0" y="0"/>
                            <a:ext cx="1000760" cy="112395"/>
                          </a:xfrm>
                          <a:prstGeom prst="rect">
                            <a:avLst/>
                          </a:prstGeom>
                          <a:noFill/>
                          <a:ln w="9525">
                            <a:noFill/>
                            <a:miter lim="800000"/>
                            <a:headEnd/>
                            <a:tailEnd/>
                          </a:ln>
                        </pic:spPr>
                      </pic:pic>
                    </a:graphicData>
                  </a:graphic>
                </wp:inline>
              </w:drawing>
            </w:r>
            <w:r>
              <w:t>26.47%</w:t>
            </w:r>
          </w:p>
        </w:tc>
      </w:tr>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F9F9F9"/>
            <w:vAlign w:val="center"/>
          </w:tcPr>
          <w:p>
            <w:r>
              <w:t>没参与过</w:t>
            </w:r>
          </w:p>
        </w:tc>
        <w:tc>
          <w:tcPr>
            <w:tcW w:w="0" w:type="auto"/>
            <w:shd w:val="clear" w:color="auto" w:fill="F9F9F9"/>
            <w:vAlign w:val="center"/>
          </w:tcPr>
          <w:p>
            <w:pPr>
              <w:jc w:val="center"/>
            </w:pPr>
            <w:r>
              <w:t>42</w:t>
            </w:r>
          </w:p>
        </w:tc>
        <w:tc>
          <w:tcPr>
            <w:tcW w:w="0" w:type="auto"/>
            <w:shd w:val="clear" w:color="auto" w:fill="F9F9F9"/>
            <w:vAlign w:val="center"/>
          </w:tcPr>
          <w:p>
            <w:r>
              <w:drawing>
                <wp:inline distT="0" distB="0" distL="0" distR="0">
                  <wp:extent cx="405130" cy="112395"/>
                  <wp:effectExtent l="19050" t="0" r="0"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noChangeArrowheads="1"/>
                          </pic:cNvPicPr>
                        </pic:nvPicPr>
                        <pic:blipFill>
                          <a:blip r:embed="rId48" cstate="print"/>
                          <a:srcRect/>
                          <a:stretch>
                            <a:fillRect/>
                          </a:stretch>
                        </pic:blipFill>
                        <pic:spPr>
                          <a:xfrm>
                            <a:off x="0" y="0"/>
                            <a:ext cx="405130" cy="112395"/>
                          </a:xfrm>
                          <a:prstGeom prst="rect">
                            <a:avLst/>
                          </a:prstGeom>
                          <a:noFill/>
                          <a:ln w="9525">
                            <a:noFill/>
                            <a:miter lim="800000"/>
                            <a:headEnd/>
                            <a:tailEnd/>
                          </a:ln>
                        </pic:spPr>
                      </pic:pic>
                    </a:graphicData>
                  </a:graphic>
                </wp:inline>
              </w:drawing>
            </w:r>
            <w:r>
              <w:drawing>
                <wp:inline distT="0" distB="0" distL="0" distR="0">
                  <wp:extent cx="940435" cy="112395"/>
                  <wp:effectExtent l="19050" t="0" r="0"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noChangeArrowheads="1"/>
                          </pic:cNvPicPr>
                        </pic:nvPicPr>
                        <pic:blipFill>
                          <a:blip r:embed="rId49" cstate="print"/>
                          <a:srcRect/>
                          <a:stretch>
                            <a:fillRect/>
                          </a:stretch>
                        </pic:blipFill>
                        <pic:spPr>
                          <a:xfrm>
                            <a:off x="0" y="0"/>
                            <a:ext cx="940435" cy="112395"/>
                          </a:xfrm>
                          <a:prstGeom prst="rect">
                            <a:avLst/>
                          </a:prstGeom>
                          <a:noFill/>
                          <a:ln w="9525">
                            <a:noFill/>
                            <a:miter lim="800000"/>
                            <a:headEnd/>
                            <a:tailEnd/>
                          </a:ln>
                        </pic:spPr>
                      </pic:pic>
                    </a:graphicData>
                  </a:graphic>
                </wp:inline>
              </w:drawing>
            </w:r>
            <w:r>
              <w:t>30.88%</w:t>
            </w:r>
          </w:p>
        </w:tc>
      </w:tr>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E0E0E0"/>
            <w:vAlign w:val="center"/>
          </w:tcPr>
          <w:p>
            <w:r>
              <w:t>本题有效填写人次</w:t>
            </w:r>
          </w:p>
        </w:tc>
        <w:tc>
          <w:tcPr>
            <w:tcW w:w="0" w:type="auto"/>
            <w:shd w:val="clear" w:color="auto" w:fill="E0E0E0"/>
            <w:vAlign w:val="center"/>
          </w:tcPr>
          <w:p>
            <w:pPr>
              <w:jc w:val="center"/>
            </w:pPr>
            <w:r>
              <w:t>136</w:t>
            </w:r>
          </w:p>
        </w:tc>
        <w:tc>
          <w:tcPr>
            <w:tcW w:w="0" w:type="auto"/>
            <w:shd w:val="clear" w:color="auto" w:fill="E0E0E0"/>
            <w:vAlign w:val="center"/>
          </w:tcPr>
          <w:p/>
        </w:tc>
      </w:tr>
    </w:tbl>
    <w:p/>
    <w:p/>
    <w:p>
      <w:r>
        <w:rPr>
          <w:color w:val="000000"/>
          <w:sz w:val="24"/>
        </w:rPr>
        <w:t>第</w:t>
      </w:r>
      <w:r>
        <w:rPr>
          <w:rFonts w:hint="eastAsia"/>
          <w:color w:val="000000"/>
          <w:sz w:val="24"/>
        </w:rPr>
        <w:t>6</w:t>
      </w:r>
      <w:r>
        <w:rPr>
          <w:color w:val="000000"/>
          <w:sz w:val="24"/>
        </w:rPr>
        <w:t xml:space="preserve">题   贵单位开展了哪些标准制修订工作？     </w:t>
      </w:r>
    </w:p>
    <w:p>
      <w:pPr>
        <w:rPr>
          <w:color w:val="0066FF"/>
        </w:rPr>
      </w:pPr>
    </w:p>
    <w:tbl>
      <w:tblPr>
        <w:tblStyle w:val="12"/>
        <w:tblW w:w="5000" w:type="pct"/>
        <w:tblInd w:w="0" w:type="dxa"/>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Layout w:type="autofit"/>
        <w:tblCellMar>
          <w:top w:w="0" w:type="dxa"/>
          <w:left w:w="108" w:type="dxa"/>
          <w:bottom w:w="0" w:type="dxa"/>
          <w:right w:w="108" w:type="dxa"/>
        </w:tblCellMar>
      </w:tblPr>
      <w:tblGrid>
        <w:gridCol w:w="3270"/>
        <w:gridCol w:w="898"/>
        <w:gridCol w:w="4354"/>
      </w:tblGrid>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E0E0E0"/>
            <w:vAlign w:val="center"/>
          </w:tcPr>
          <w:p>
            <w:pPr>
              <w:jc w:val="center"/>
            </w:pPr>
            <w:r>
              <w:t>选项</w:t>
            </w:r>
          </w:p>
        </w:tc>
        <w:tc>
          <w:tcPr>
            <w:tcW w:w="0" w:type="auto"/>
            <w:shd w:val="clear" w:color="auto" w:fill="E0E0E0"/>
            <w:vAlign w:val="center"/>
          </w:tcPr>
          <w:p>
            <w:pPr>
              <w:jc w:val="center"/>
            </w:pPr>
            <w:r>
              <w:t>小计</w:t>
            </w:r>
          </w:p>
        </w:tc>
        <w:tc>
          <w:tcPr>
            <w:tcW w:w="0" w:type="auto"/>
            <w:shd w:val="clear" w:color="auto" w:fill="E0E0E0"/>
            <w:vAlign w:val="center"/>
          </w:tcPr>
          <w:p>
            <w:pPr>
              <w:jc w:val="center"/>
            </w:pPr>
            <w:r>
              <w:t>比例</w:t>
            </w:r>
          </w:p>
        </w:tc>
      </w:tr>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FFFFFF"/>
            <w:vAlign w:val="center"/>
          </w:tcPr>
          <w:p>
            <w:r>
              <w:t>研发设计服务标准</w:t>
            </w:r>
          </w:p>
        </w:tc>
        <w:tc>
          <w:tcPr>
            <w:tcW w:w="0" w:type="auto"/>
            <w:shd w:val="clear" w:color="auto" w:fill="FFFFFF"/>
            <w:vAlign w:val="center"/>
          </w:tcPr>
          <w:p>
            <w:pPr>
              <w:jc w:val="center"/>
            </w:pPr>
            <w:r>
              <w:t>47</w:t>
            </w:r>
          </w:p>
        </w:tc>
        <w:tc>
          <w:tcPr>
            <w:tcW w:w="0" w:type="auto"/>
            <w:shd w:val="clear" w:color="auto" w:fill="FFFFFF"/>
            <w:vAlign w:val="center"/>
          </w:tcPr>
          <w:p>
            <w:r>
              <w:drawing>
                <wp:inline distT="0" distB="0" distL="0" distR="0">
                  <wp:extent cx="466090" cy="112395"/>
                  <wp:effectExtent l="19050" t="0" r="0"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noChangeArrowheads="1"/>
                          </pic:cNvPicPr>
                        </pic:nvPicPr>
                        <pic:blipFill>
                          <a:blip r:embed="rId50" cstate="print"/>
                          <a:srcRect/>
                          <a:stretch>
                            <a:fillRect/>
                          </a:stretch>
                        </pic:blipFill>
                        <pic:spPr>
                          <a:xfrm>
                            <a:off x="0" y="0"/>
                            <a:ext cx="466090" cy="112395"/>
                          </a:xfrm>
                          <a:prstGeom prst="rect">
                            <a:avLst/>
                          </a:prstGeom>
                          <a:noFill/>
                          <a:ln w="9525">
                            <a:noFill/>
                            <a:miter lim="800000"/>
                            <a:headEnd/>
                            <a:tailEnd/>
                          </a:ln>
                        </pic:spPr>
                      </pic:pic>
                    </a:graphicData>
                  </a:graphic>
                </wp:inline>
              </w:drawing>
            </w:r>
            <w:r>
              <w:drawing>
                <wp:inline distT="0" distB="0" distL="0" distR="0">
                  <wp:extent cx="888365" cy="112395"/>
                  <wp:effectExtent l="19050" t="0" r="6985"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noChangeArrowheads="1"/>
                          </pic:cNvPicPr>
                        </pic:nvPicPr>
                        <pic:blipFill>
                          <a:blip r:embed="rId51" cstate="print"/>
                          <a:srcRect/>
                          <a:stretch>
                            <a:fillRect/>
                          </a:stretch>
                        </pic:blipFill>
                        <pic:spPr>
                          <a:xfrm>
                            <a:off x="0" y="0"/>
                            <a:ext cx="888365" cy="112395"/>
                          </a:xfrm>
                          <a:prstGeom prst="rect">
                            <a:avLst/>
                          </a:prstGeom>
                          <a:noFill/>
                          <a:ln w="9525">
                            <a:noFill/>
                            <a:miter lim="800000"/>
                            <a:headEnd/>
                            <a:tailEnd/>
                          </a:ln>
                        </pic:spPr>
                      </pic:pic>
                    </a:graphicData>
                  </a:graphic>
                </wp:inline>
              </w:drawing>
            </w:r>
            <w:r>
              <w:t>34.56%</w:t>
            </w:r>
          </w:p>
        </w:tc>
      </w:tr>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F9F9F9"/>
            <w:vAlign w:val="center"/>
          </w:tcPr>
          <w:p>
            <w:r>
              <w:t>技术转移服务标准</w:t>
            </w:r>
          </w:p>
        </w:tc>
        <w:tc>
          <w:tcPr>
            <w:tcW w:w="0" w:type="auto"/>
            <w:shd w:val="clear" w:color="auto" w:fill="F9F9F9"/>
            <w:vAlign w:val="center"/>
          </w:tcPr>
          <w:p>
            <w:pPr>
              <w:jc w:val="center"/>
            </w:pPr>
            <w:r>
              <w:t>20</w:t>
            </w:r>
          </w:p>
        </w:tc>
        <w:tc>
          <w:tcPr>
            <w:tcW w:w="0" w:type="auto"/>
            <w:shd w:val="clear" w:color="auto" w:fill="F9F9F9"/>
            <w:vAlign w:val="center"/>
          </w:tcPr>
          <w:p>
            <w:r>
              <w:drawing>
                <wp:inline distT="0" distB="0" distL="0" distR="0">
                  <wp:extent cx="189865" cy="112395"/>
                  <wp:effectExtent l="19050" t="0" r="635"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noChangeArrowheads="1"/>
                          </pic:cNvPicPr>
                        </pic:nvPicPr>
                        <pic:blipFill>
                          <a:blip r:embed="rId52" cstate="print"/>
                          <a:srcRect/>
                          <a:stretch>
                            <a:fillRect/>
                          </a:stretch>
                        </pic:blipFill>
                        <pic:spPr>
                          <a:xfrm>
                            <a:off x="0" y="0"/>
                            <a:ext cx="189865" cy="112395"/>
                          </a:xfrm>
                          <a:prstGeom prst="rect">
                            <a:avLst/>
                          </a:prstGeom>
                          <a:noFill/>
                          <a:ln w="9525">
                            <a:noFill/>
                            <a:miter lim="800000"/>
                            <a:headEnd/>
                            <a:tailEnd/>
                          </a:ln>
                        </pic:spPr>
                      </pic:pic>
                    </a:graphicData>
                  </a:graphic>
                </wp:inline>
              </w:drawing>
            </w:r>
            <w:r>
              <w:drawing>
                <wp:inline distT="0" distB="0" distL="0" distR="0">
                  <wp:extent cx="1164590" cy="112395"/>
                  <wp:effectExtent l="19050" t="0" r="0"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spect="1" noChangeArrowheads="1"/>
                          </pic:cNvPicPr>
                        </pic:nvPicPr>
                        <pic:blipFill>
                          <a:blip r:embed="rId53" cstate="print"/>
                          <a:srcRect/>
                          <a:stretch>
                            <a:fillRect/>
                          </a:stretch>
                        </pic:blipFill>
                        <pic:spPr>
                          <a:xfrm>
                            <a:off x="0" y="0"/>
                            <a:ext cx="1164590" cy="112395"/>
                          </a:xfrm>
                          <a:prstGeom prst="rect">
                            <a:avLst/>
                          </a:prstGeom>
                          <a:noFill/>
                          <a:ln w="9525">
                            <a:noFill/>
                            <a:miter lim="800000"/>
                            <a:headEnd/>
                            <a:tailEnd/>
                          </a:ln>
                        </pic:spPr>
                      </pic:pic>
                    </a:graphicData>
                  </a:graphic>
                </wp:inline>
              </w:drawing>
            </w:r>
            <w:r>
              <w:t>14.71%</w:t>
            </w:r>
          </w:p>
        </w:tc>
      </w:tr>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FFFFFF"/>
            <w:vAlign w:val="center"/>
          </w:tcPr>
          <w:p>
            <w:r>
              <w:t>创业孵化服务标准</w:t>
            </w:r>
          </w:p>
        </w:tc>
        <w:tc>
          <w:tcPr>
            <w:tcW w:w="0" w:type="auto"/>
            <w:shd w:val="clear" w:color="auto" w:fill="FFFFFF"/>
            <w:vAlign w:val="center"/>
          </w:tcPr>
          <w:p>
            <w:pPr>
              <w:jc w:val="center"/>
            </w:pPr>
            <w:r>
              <w:t>11</w:t>
            </w:r>
          </w:p>
        </w:tc>
        <w:tc>
          <w:tcPr>
            <w:tcW w:w="0" w:type="auto"/>
            <w:shd w:val="clear" w:color="auto" w:fill="FFFFFF"/>
            <w:vAlign w:val="center"/>
          </w:tcPr>
          <w:p>
            <w:r>
              <w:drawing>
                <wp:inline distT="0" distB="0" distL="0" distR="0">
                  <wp:extent cx="103505" cy="112395"/>
                  <wp:effectExtent l="19050" t="0" r="0"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noChangeArrowheads="1"/>
                          </pic:cNvPicPr>
                        </pic:nvPicPr>
                        <pic:blipFill>
                          <a:blip r:embed="rId54" cstate="print"/>
                          <a:srcRect/>
                          <a:stretch>
                            <a:fillRect/>
                          </a:stretch>
                        </pic:blipFill>
                        <pic:spPr>
                          <a:xfrm>
                            <a:off x="0" y="0"/>
                            <a:ext cx="103505" cy="112395"/>
                          </a:xfrm>
                          <a:prstGeom prst="rect">
                            <a:avLst/>
                          </a:prstGeom>
                          <a:noFill/>
                          <a:ln w="9525">
                            <a:noFill/>
                            <a:miter lim="800000"/>
                            <a:headEnd/>
                            <a:tailEnd/>
                          </a:ln>
                        </pic:spPr>
                      </pic:pic>
                    </a:graphicData>
                  </a:graphic>
                </wp:inline>
              </w:drawing>
            </w:r>
            <w:r>
              <w:drawing>
                <wp:inline distT="0" distB="0" distL="0" distR="0">
                  <wp:extent cx="1250950" cy="112395"/>
                  <wp:effectExtent l="19050" t="0" r="6350"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noChangeArrowheads="1"/>
                          </pic:cNvPicPr>
                        </pic:nvPicPr>
                        <pic:blipFill>
                          <a:blip r:embed="rId55" cstate="print"/>
                          <a:srcRect/>
                          <a:stretch>
                            <a:fillRect/>
                          </a:stretch>
                        </pic:blipFill>
                        <pic:spPr>
                          <a:xfrm>
                            <a:off x="0" y="0"/>
                            <a:ext cx="1250950" cy="112395"/>
                          </a:xfrm>
                          <a:prstGeom prst="rect">
                            <a:avLst/>
                          </a:prstGeom>
                          <a:noFill/>
                          <a:ln w="9525">
                            <a:noFill/>
                            <a:miter lim="800000"/>
                            <a:headEnd/>
                            <a:tailEnd/>
                          </a:ln>
                        </pic:spPr>
                      </pic:pic>
                    </a:graphicData>
                  </a:graphic>
                </wp:inline>
              </w:drawing>
            </w:r>
            <w:r>
              <w:t>8.09%</w:t>
            </w:r>
          </w:p>
        </w:tc>
      </w:tr>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F9F9F9"/>
            <w:vAlign w:val="center"/>
          </w:tcPr>
          <w:p>
            <w:r>
              <w:t>科技咨询服务标准</w:t>
            </w:r>
          </w:p>
        </w:tc>
        <w:tc>
          <w:tcPr>
            <w:tcW w:w="0" w:type="auto"/>
            <w:shd w:val="clear" w:color="auto" w:fill="F9F9F9"/>
            <w:vAlign w:val="center"/>
          </w:tcPr>
          <w:p>
            <w:pPr>
              <w:jc w:val="center"/>
            </w:pPr>
            <w:r>
              <w:t>18</w:t>
            </w:r>
          </w:p>
        </w:tc>
        <w:tc>
          <w:tcPr>
            <w:tcW w:w="0" w:type="auto"/>
            <w:shd w:val="clear" w:color="auto" w:fill="F9F9F9"/>
            <w:vAlign w:val="center"/>
          </w:tcPr>
          <w:p>
            <w:r>
              <w:drawing>
                <wp:inline distT="0" distB="0" distL="0" distR="0">
                  <wp:extent cx="172720" cy="112395"/>
                  <wp:effectExtent l="19050" t="0" r="0"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noChangeArrowheads="1"/>
                          </pic:cNvPicPr>
                        </pic:nvPicPr>
                        <pic:blipFill>
                          <a:blip r:embed="rId56" cstate="print"/>
                          <a:srcRect/>
                          <a:stretch>
                            <a:fillRect/>
                          </a:stretch>
                        </pic:blipFill>
                        <pic:spPr>
                          <a:xfrm>
                            <a:off x="0" y="0"/>
                            <a:ext cx="172720" cy="112395"/>
                          </a:xfrm>
                          <a:prstGeom prst="rect">
                            <a:avLst/>
                          </a:prstGeom>
                          <a:noFill/>
                          <a:ln w="9525">
                            <a:noFill/>
                            <a:miter lim="800000"/>
                            <a:headEnd/>
                            <a:tailEnd/>
                          </a:ln>
                        </pic:spPr>
                      </pic:pic>
                    </a:graphicData>
                  </a:graphic>
                </wp:inline>
              </w:drawing>
            </w:r>
            <w:r>
              <w:drawing>
                <wp:inline distT="0" distB="0" distL="0" distR="0">
                  <wp:extent cx="1181735" cy="112395"/>
                  <wp:effectExtent l="19050" t="0" r="0"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noChangeArrowheads="1"/>
                          </pic:cNvPicPr>
                        </pic:nvPicPr>
                        <pic:blipFill>
                          <a:blip r:embed="rId57" cstate="print"/>
                          <a:srcRect/>
                          <a:stretch>
                            <a:fillRect/>
                          </a:stretch>
                        </pic:blipFill>
                        <pic:spPr>
                          <a:xfrm>
                            <a:off x="0" y="0"/>
                            <a:ext cx="1181735" cy="112395"/>
                          </a:xfrm>
                          <a:prstGeom prst="rect">
                            <a:avLst/>
                          </a:prstGeom>
                          <a:noFill/>
                          <a:ln w="9525">
                            <a:noFill/>
                            <a:miter lim="800000"/>
                            <a:headEnd/>
                            <a:tailEnd/>
                          </a:ln>
                        </pic:spPr>
                      </pic:pic>
                    </a:graphicData>
                  </a:graphic>
                </wp:inline>
              </w:drawing>
            </w:r>
            <w:r>
              <w:t>13.24%</w:t>
            </w:r>
          </w:p>
        </w:tc>
      </w:tr>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FFFFFF"/>
            <w:vAlign w:val="center"/>
          </w:tcPr>
          <w:p>
            <w:r>
              <w:t>知识产权标准</w:t>
            </w:r>
          </w:p>
        </w:tc>
        <w:tc>
          <w:tcPr>
            <w:tcW w:w="0" w:type="auto"/>
            <w:shd w:val="clear" w:color="auto" w:fill="FFFFFF"/>
            <w:vAlign w:val="center"/>
          </w:tcPr>
          <w:p>
            <w:pPr>
              <w:jc w:val="center"/>
            </w:pPr>
            <w:r>
              <w:t>23</w:t>
            </w:r>
          </w:p>
        </w:tc>
        <w:tc>
          <w:tcPr>
            <w:tcW w:w="0" w:type="auto"/>
            <w:shd w:val="clear" w:color="auto" w:fill="FFFFFF"/>
            <w:vAlign w:val="center"/>
          </w:tcPr>
          <w:p>
            <w:r>
              <w:drawing>
                <wp:inline distT="0" distB="0" distL="0" distR="0">
                  <wp:extent cx="224155" cy="112395"/>
                  <wp:effectExtent l="19050" t="0" r="4445"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noChangeArrowheads="1"/>
                          </pic:cNvPicPr>
                        </pic:nvPicPr>
                        <pic:blipFill>
                          <a:blip r:embed="rId40" cstate="print"/>
                          <a:srcRect/>
                          <a:stretch>
                            <a:fillRect/>
                          </a:stretch>
                        </pic:blipFill>
                        <pic:spPr>
                          <a:xfrm>
                            <a:off x="0" y="0"/>
                            <a:ext cx="224155" cy="112395"/>
                          </a:xfrm>
                          <a:prstGeom prst="rect">
                            <a:avLst/>
                          </a:prstGeom>
                          <a:noFill/>
                          <a:ln w="9525">
                            <a:noFill/>
                            <a:miter lim="800000"/>
                            <a:headEnd/>
                            <a:tailEnd/>
                          </a:ln>
                        </pic:spPr>
                      </pic:pic>
                    </a:graphicData>
                  </a:graphic>
                </wp:inline>
              </w:drawing>
            </w:r>
            <w:r>
              <w:drawing>
                <wp:inline distT="0" distB="0" distL="0" distR="0">
                  <wp:extent cx="1121410" cy="112395"/>
                  <wp:effectExtent l="19050" t="0" r="2540"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noChangeArrowheads="1"/>
                          </pic:cNvPicPr>
                        </pic:nvPicPr>
                        <pic:blipFill>
                          <a:blip r:embed="rId41" cstate="print"/>
                          <a:srcRect/>
                          <a:stretch>
                            <a:fillRect/>
                          </a:stretch>
                        </pic:blipFill>
                        <pic:spPr>
                          <a:xfrm>
                            <a:off x="0" y="0"/>
                            <a:ext cx="1121410" cy="112395"/>
                          </a:xfrm>
                          <a:prstGeom prst="rect">
                            <a:avLst/>
                          </a:prstGeom>
                          <a:noFill/>
                          <a:ln w="9525">
                            <a:noFill/>
                            <a:miter lim="800000"/>
                            <a:headEnd/>
                            <a:tailEnd/>
                          </a:ln>
                        </pic:spPr>
                      </pic:pic>
                    </a:graphicData>
                  </a:graphic>
                </wp:inline>
              </w:drawing>
            </w:r>
            <w:r>
              <w:t>16.91%</w:t>
            </w:r>
          </w:p>
        </w:tc>
      </w:tr>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F9F9F9"/>
            <w:vAlign w:val="center"/>
          </w:tcPr>
          <w:p>
            <w:r>
              <w:t>检验检测认证服务标准</w:t>
            </w:r>
          </w:p>
        </w:tc>
        <w:tc>
          <w:tcPr>
            <w:tcW w:w="0" w:type="auto"/>
            <w:shd w:val="clear" w:color="auto" w:fill="F9F9F9"/>
            <w:vAlign w:val="center"/>
          </w:tcPr>
          <w:p>
            <w:pPr>
              <w:jc w:val="center"/>
            </w:pPr>
            <w:r>
              <w:t>28</w:t>
            </w:r>
          </w:p>
        </w:tc>
        <w:tc>
          <w:tcPr>
            <w:tcW w:w="0" w:type="auto"/>
            <w:shd w:val="clear" w:color="auto" w:fill="F9F9F9"/>
            <w:vAlign w:val="center"/>
          </w:tcPr>
          <w:p>
            <w:r>
              <w:drawing>
                <wp:inline distT="0" distB="0" distL="0" distR="0">
                  <wp:extent cx="276225" cy="112395"/>
                  <wp:effectExtent l="19050" t="0" r="9525"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pic:cNvPicPr>
                            <a:picLocks noChangeAspect="1" noChangeArrowheads="1"/>
                          </pic:cNvPicPr>
                        </pic:nvPicPr>
                        <pic:blipFill>
                          <a:blip r:embed="rId58" cstate="print"/>
                          <a:srcRect/>
                          <a:stretch>
                            <a:fillRect/>
                          </a:stretch>
                        </pic:blipFill>
                        <pic:spPr>
                          <a:xfrm>
                            <a:off x="0" y="0"/>
                            <a:ext cx="276225" cy="112395"/>
                          </a:xfrm>
                          <a:prstGeom prst="rect">
                            <a:avLst/>
                          </a:prstGeom>
                          <a:noFill/>
                          <a:ln w="9525">
                            <a:noFill/>
                            <a:miter lim="800000"/>
                            <a:headEnd/>
                            <a:tailEnd/>
                          </a:ln>
                        </pic:spPr>
                      </pic:pic>
                    </a:graphicData>
                  </a:graphic>
                </wp:inline>
              </w:drawing>
            </w:r>
            <w:r>
              <w:drawing>
                <wp:inline distT="0" distB="0" distL="0" distR="0">
                  <wp:extent cx="1078230" cy="112395"/>
                  <wp:effectExtent l="19050" t="0" r="7620"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pic:cNvPicPr>
                            <a:picLocks noChangeAspect="1" noChangeArrowheads="1"/>
                          </pic:cNvPicPr>
                        </pic:nvPicPr>
                        <pic:blipFill>
                          <a:blip r:embed="rId59" cstate="print"/>
                          <a:srcRect/>
                          <a:stretch>
                            <a:fillRect/>
                          </a:stretch>
                        </pic:blipFill>
                        <pic:spPr>
                          <a:xfrm>
                            <a:off x="0" y="0"/>
                            <a:ext cx="1078230" cy="112395"/>
                          </a:xfrm>
                          <a:prstGeom prst="rect">
                            <a:avLst/>
                          </a:prstGeom>
                          <a:noFill/>
                          <a:ln w="9525">
                            <a:noFill/>
                            <a:miter lim="800000"/>
                            <a:headEnd/>
                            <a:tailEnd/>
                          </a:ln>
                        </pic:spPr>
                      </pic:pic>
                    </a:graphicData>
                  </a:graphic>
                </wp:inline>
              </w:drawing>
            </w:r>
            <w:r>
              <w:t>20.59%</w:t>
            </w:r>
          </w:p>
        </w:tc>
      </w:tr>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FFFFFF"/>
            <w:vAlign w:val="center"/>
          </w:tcPr>
          <w:p>
            <w:r>
              <w:t>其他</w:t>
            </w:r>
          </w:p>
        </w:tc>
        <w:tc>
          <w:tcPr>
            <w:tcW w:w="0" w:type="auto"/>
            <w:shd w:val="clear" w:color="auto" w:fill="FFFFFF"/>
            <w:vAlign w:val="center"/>
          </w:tcPr>
          <w:p>
            <w:pPr>
              <w:jc w:val="center"/>
            </w:pPr>
            <w:r>
              <w:t>58</w:t>
            </w:r>
          </w:p>
        </w:tc>
        <w:tc>
          <w:tcPr>
            <w:tcW w:w="0" w:type="auto"/>
            <w:shd w:val="clear" w:color="auto" w:fill="FFFFFF"/>
            <w:vAlign w:val="center"/>
          </w:tcPr>
          <w:p>
            <w:r>
              <w:drawing>
                <wp:inline distT="0" distB="0" distL="0" distR="0">
                  <wp:extent cx="569595" cy="112395"/>
                  <wp:effectExtent l="19050" t="0" r="1905"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noChangeArrowheads="1"/>
                          </pic:cNvPicPr>
                        </pic:nvPicPr>
                        <pic:blipFill>
                          <a:blip r:embed="rId6" cstate="print"/>
                          <a:srcRect/>
                          <a:stretch>
                            <a:fillRect/>
                          </a:stretch>
                        </pic:blipFill>
                        <pic:spPr>
                          <a:xfrm>
                            <a:off x="0" y="0"/>
                            <a:ext cx="569595" cy="112395"/>
                          </a:xfrm>
                          <a:prstGeom prst="rect">
                            <a:avLst/>
                          </a:prstGeom>
                          <a:noFill/>
                          <a:ln w="9525">
                            <a:noFill/>
                            <a:miter lim="800000"/>
                            <a:headEnd/>
                            <a:tailEnd/>
                          </a:ln>
                        </pic:spPr>
                      </pic:pic>
                    </a:graphicData>
                  </a:graphic>
                </wp:inline>
              </w:drawing>
            </w:r>
            <w:r>
              <w:drawing>
                <wp:inline distT="0" distB="0" distL="0" distR="0">
                  <wp:extent cx="784860" cy="112395"/>
                  <wp:effectExtent l="19050" t="0" r="0" b="0"/>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pic:cNvPicPr>
                            <a:picLocks noChangeAspect="1" noChangeArrowheads="1"/>
                          </pic:cNvPicPr>
                        </pic:nvPicPr>
                        <pic:blipFill>
                          <a:blip r:embed="rId7" cstate="print"/>
                          <a:srcRect/>
                          <a:stretch>
                            <a:fillRect/>
                          </a:stretch>
                        </pic:blipFill>
                        <pic:spPr>
                          <a:xfrm>
                            <a:off x="0" y="0"/>
                            <a:ext cx="784860" cy="112395"/>
                          </a:xfrm>
                          <a:prstGeom prst="rect">
                            <a:avLst/>
                          </a:prstGeom>
                          <a:noFill/>
                          <a:ln w="9525">
                            <a:noFill/>
                            <a:miter lim="800000"/>
                            <a:headEnd/>
                            <a:tailEnd/>
                          </a:ln>
                        </pic:spPr>
                      </pic:pic>
                    </a:graphicData>
                  </a:graphic>
                </wp:inline>
              </w:drawing>
            </w:r>
            <w:r>
              <w:t>42.65%</w:t>
            </w:r>
          </w:p>
        </w:tc>
      </w:tr>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PrEx>
        <w:trPr>
          <w:trHeight w:val="500" w:hRule="atLeast"/>
        </w:trPr>
        <w:tc>
          <w:tcPr>
            <w:tcW w:w="0" w:type="auto"/>
            <w:shd w:val="clear" w:color="auto" w:fill="E0E0E0"/>
            <w:vAlign w:val="center"/>
          </w:tcPr>
          <w:p>
            <w:r>
              <w:t>本题有效填写人次</w:t>
            </w:r>
          </w:p>
        </w:tc>
        <w:tc>
          <w:tcPr>
            <w:tcW w:w="0" w:type="auto"/>
            <w:shd w:val="clear" w:color="auto" w:fill="E0E0E0"/>
            <w:vAlign w:val="center"/>
          </w:tcPr>
          <w:p>
            <w:pPr>
              <w:jc w:val="center"/>
            </w:pPr>
            <w:r>
              <w:t>136</w:t>
            </w:r>
          </w:p>
        </w:tc>
        <w:tc>
          <w:tcPr>
            <w:tcW w:w="0" w:type="auto"/>
            <w:shd w:val="clear" w:color="auto" w:fill="E0E0E0"/>
            <w:vAlign w:val="center"/>
          </w:tcPr>
          <w:p/>
        </w:tc>
      </w:tr>
    </w:tbl>
    <w:p/>
    <w:p/>
    <w:p>
      <w:r>
        <w:rPr>
          <w:color w:val="000000"/>
          <w:sz w:val="24"/>
        </w:rPr>
        <w:t>第</w:t>
      </w:r>
      <w:r>
        <w:rPr>
          <w:rFonts w:hint="eastAsia"/>
          <w:color w:val="000000"/>
          <w:sz w:val="24"/>
        </w:rPr>
        <w:t>7</w:t>
      </w:r>
      <w:r>
        <w:rPr>
          <w:color w:val="000000"/>
          <w:sz w:val="24"/>
        </w:rPr>
        <w:t xml:space="preserve">题   您认为科技创新服务标准化领域急需制定的标准有哪些？    </w:t>
      </w:r>
    </w:p>
    <w:p>
      <w:pPr>
        <w:rPr>
          <w:color w:val="0066FF"/>
        </w:rPr>
      </w:pPr>
    </w:p>
    <w:tbl>
      <w:tblPr>
        <w:tblStyle w:val="12"/>
        <w:tblW w:w="5000" w:type="pct"/>
        <w:tblInd w:w="0" w:type="dxa"/>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Layout w:type="autofit"/>
        <w:tblCellMar>
          <w:top w:w="0" w:type="dxa"/>
          <w:left w:w="108" w:type="dxa"/>
          <w:bottom w:w="0" w:type="dxa"/>
          <w:right w:w="108" w:type="dxa"/>
        </w:tblCellMar>
      </w:tblPr>
      <w:tblGrid>
        <w:gridCol w:w="2886"/>
        <w:gridCol w:w="968"/>
        <w:gridCol w:w="4668"/>
      </w:tblGrid>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E0E0E0"/>
            <w:vAlign w:val="center"/>
          </w:tcPr>
          <w:p>
            <w:pPr>
              <w:jc w:val="center"/>
            </w:pPr>
            <w:r>
              <w:t>选项</w:t>
            </w:r>
          </w:p>
        </w:tc>
        <w:tc>
          <w:tcPr>
            <w:tcW w:w="0" w:type="auto"/>
            <w:shd w:val="clear" w:color="auto" w:fill="E0E0E0"/>
            <w:vAlign w:val="center"/>
          </w:tcPr>
          <w:p>
            <w:pPr>
              <w:jc w:val="center"/>
            </w:pPr>
            <w:r>
              <w:t>小计</w:t>
            </w:r>
          </w:p>
        </w:tc>
        <w:tc>
          <w:tcPr>
            <w:tcW w:w="0" w:type="auto"/>
            <w:shd w:val="clear" w:color="auto" w:fill="E0E0E0"/>
            <w:vAlign w:val="center"/>
          </w:tcPr>
          <w:p>
            <w:pPr>
              <w:jc w:val="center"/>
            </w:pPr>
            <w:r>
              <w:t>比例</w:t>
            </w:r>
          </w:p>
        </w:tc>
      </w:tr>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FFFFFF"/>
            <w:vAlign w:val="center"/>
          </w:tcPr>
          <w:p>
            <w:r>
              <w:t>术语类基础标准</w:t>
            </w:r>
          </w:p>
        </w:tc>
        <w:tc>
          <w:tcPr>
            <w:tcW w:w="0" w:type="auto"/>
            <w:shd w:val="clear" w:color="auto" w:fill="FFFFFF"/>
            <w:vAlign w:val="center"/>
          </w:tcPr>
          <w:p>
            <w:pPr>
              <w:jc w:val="center"/>
            </w:pPr>
            <w:r>
              <w:t>41</w:t>
            </w:r>
          </w:p>
        </w:tc>
        <w:tc>
          <w:tcPr>
            <w:tcW w:w="0" w:type="auto"/>
            <w:shd w:val="clear" w:color="auto" w:fill="FFFFFF"/>
            <w:vAlign w:val="center"/>
          </w:tcPr>
          <w:p>
            <w:r>
              <w:drawing>
                <wp:inline distT="0" distB="0" distL="0" distR="0">
                  <wp:extent cx="396875" cy="112395"/>
                  <wp:effectExtent l="19050" t="0" r="3175" b="0"/>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pic:cNvPicPr>
                            <a:picLocks noChangeAspect="1" noChangeArrowheads="1"/>
                          </pic:cNvPicPr>
                        </pic:nvPicPr>
                        <pic:blipFill>
                          <a:blip r:embed="rId60" cstate="print"/>
                          <a:srcRect/>
                          <a:stretch>
                            <a:fillRect/>
                          </a:stretch>
                        </pic:blipFill>
                        <pic:spPr>
                          <a:xfrm>
                            <a:off x="0" y="0"/>
                            <a:ext cx="396875" cy="112395"/>
                          </a:xfrm>
                          <a:prstGeom prst="rect">
                            <a:avLst/>
                          </a:prstGeom>
                          <a:noFill/>
                          <a:ln w="9525">
                            <a:noFill/>
                            <a:miter lim="800000"/>
                            <a:headEnd/>
                            <a:tailEnd/>
                          </a:ln>
                        </pic:spPr>
                      </pic:pic>
                    </a:graphicData>
                  </a:graphic>
                </wp:inline>
              </w:drawing>
            </w:r>
            <w:r>
              <w:drawing>
                <wp:inline distT="0" distB="0" distL="0" distR="0">
                  <wp:extent cx="948690" cy="112395"/>
                  <wp:effectExtent l="19050" t="0" r="3810" b="0"/>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pic:cNvPicPr>
                            <a:picLocks noChangeAspect="1" noChangeArrowheads="1"/>
                          </pic:cNvPicPr>
                        </pic:nvPicPr>
                        <pic:blipFill>
                          <a:blip r:embed="rId61" cstate="print"/>
                          <a:srcRect/>
                          <a:stretch>
                            <a:fillRect/>
                          </a:stretch>
                        </pic:blipFill>
                        <pic:spPr>
                          <a:xfrm>
                            <a:off x="0" y="0"/>
                            <a:ext cx="948690" cy="112395"/>
                          </a:xfrm>
                          <a:prstGeom prst="rect">
                            <a:avLst/>
                          </a:prstGeom>
                          <a:noFill/>
                          <a:ln w="9525">
                            <a:noFill/>
                            <a:miter lim="800000"/>
                            <a:headEnd/>
                            <a:tailEnd/>
                          </a:ln>
                        </pic:spPr>
                      </pic:pic>
                    </a:graphicData>
                  </a:graphic>
                </wp:inline>
              </w:drawing>
            </w:r>
            <w:r>
              <w:t>30.15%</w:t>
            </w:r>
          </w:p>
        </w:tc>
      </w:tr>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F9F9F9"/>
            <w:vAlign w:val="center"/>
          </w:tcPr>
          <w:p>
            <w:r>
              <w:t>机构级别评定标准</w:t>
            </w:r>
          </w:p>
        </w:tc>
        <w:tc>
          <w:tcPr>
            <w:tcW w:w="0" w:type="auto"/>
            <w:shd w:val="clear" w:color="auto" w:fill="F9F9F9"/>
            <w:vAlign w:val="center"/>
          </w:tcPr>
          <w:p>
            <w:pPr>
              <w:jc w:val="center"/>
            </w:pPr>
            <w:r>
              <w:t>46</w:t>
            </w:r>
          </w:p>
        </w:tc>
        <w:tc>
          <w:tcPr>
            <w:tcW w:w="0" w:type="auto"/>
            <w:shd w:val="clear" w:color="auto" w:fill="F9F9F9"/>
            <w:vAlign w:val="center"/>
          </w:tcPr>
          <w:p>
            <w:r>
              <w:drawing>
                <wp:inline distT="0" distB="0" distL="0" distR="0">
                  <wp:extent cx="457200" cy="112395"/>
                  <wp:effectExtent l="19050" t="0" r="0" b="0"/>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pic:cNvPicPr>
                            <a:picLocks noChangeAspect="1" noChangeArrowheads="1"/>
                          </pic:cNvPicPr>
                        </pic:nvPicPr>
                        <pic:blipFill>
                          <a:blip r:embed="rId62" cstate="print"/>
                          <a:srcRect/>
                          <a:stretch>
                            <a:fillRect/>
                          </a:stretch>
                        </pic:blipFill>
                        <pic:spPr>
                          <a:xfrm>
                            <a:off x="0" y="0"/>
                            <a:ext cx="457200" cy="112395"/>
                          </a:xfrm>
                          <a:prstGeom prst="rect">
                            <a:avLst/>
                          </a:prstGeom>
                          <a:noFill/>
                          <a:ln w="9525">
                            <a:noFill/>
                            <a:miter lim="800000"/>
                            <a:headEnd/>
                            <a:tailEnd/>
                          </a:ln>
                        </pic:spPr>
                      </pic:pic>
                    </a:graphicData>
                  </a:graphic>
                </wp:inline>
              </w:drawing>
            </w:r>
            <w:r>
              <w:drawing>
                <wp:inline distT="0" distB="0" distL="0" distR="0">
                  <wp:extent cx="897255" cy="112395"/>
                  <wp:effectExtent l="19050" t="0" r="0" b="0"/>
                  <wp:docPr id="6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8"/>
                          <pic:cNvPicPr>
                            <a:picLocks noChangeAspect="1" noChangeArrowheads="1"/>
                          </pic:cNvPicPr>
                        </pic:nvPicPr>
                        <pic:blipFill>
                          <a:blip r:embed="rId63" cstate="print"/>
                          <a:srcRect/>
                          <a:stretch>
                            <a:fillRect/>
                          </a:stretch>
                        </pic:blipFill>
                        <pic:spPr>
                          <a:xfrm>
                            <a:off x="0" y="0"/>
                            <a:ext cx="897255" cy="112395"/>
                          </a:xfrm>
                          <a:prstGeom prst="rect">
                            <a:avLst/>
                          </a:prstGeom>
                          <a:noFill/>
                          <a:ln w="9525">
                            <a:noFill/>
                            <a:miter lim="800000"/>
                            <a:headEnd/>
                            <a:tailEnd/>
                          </a:ln>
                        </pic:spPr>
                      </pic:pic>
                    </a:graphicData>
                  </a:graphic>
                </wp:inline>
              </w:drawing>
            </w:r>
            <w:r>
              <w:t>33.82%</w:t>
            </w:r>
          </w:p>
        </w:tc>
      </w:tr>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FFFFFF"/>
            <w:vAlign w:val="center"/>
          </w:tcPr>
          <w:p>
            <w:r>
              <w:t>技术转移服务标准</w:t>
            </w:r>
          </w:p>
        </w:tc>
        <w:tc>
          <w:tcPr>
            <w:tcW w:w="0" w:type="auto"/>
            <w:shd w:val="clear" w:color="auto" w:fill="FFFFFF"/>
            <w:vAlign w:val="center"/>
          </w:tcPr>
          <w:p>
            <w:pPr>
              <w:jc w:val="center"/>
            </w:pPr>
            <w:r>
              <w:t>76</w:t>
            </w:r>
          </w:p>
        </w:tc>
        <w:tc>
          <w:tcPr>
            <w:tcW w:w="0" w:type="auto"/>
            <w:shd w:val="clear" w:color="auto" w:fill="FFFFFF"/>
            <w:vAlign w:val="center"/>
          </w:tcPr>
          <w:p>
            <w:r>
              <w:drawing>
                <wp:inline distT="0" distB="0" distL="0" distR="0">
                  <wp:extent cx="750570" cy="112395"/>
                  <wp:effectExtent l="19050" t="0" r="0" b="0"/>
                  <wp:docPr id="6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9"/>
                          <pic:cNvPicPr>
                            <a:picLocks noChangeAspect="1" noChangeArrowheads="1"/>
                          </pic:cNvPicPr>
                        </pic:nvPicPr>
                        <pic:blipFill>
                          <a:blip r:embed="rId64" cstate="print"/>
                          <a:srcRect/>
                          <a:stretch>
                            <a:fillRect/>
                          </a:stretch>
                        </pic:blipFill>
                        <pic:spPr>
                          <a:xfrm>
                            <a:off x="0" y="0"/>
                            <a:ext cx="750570" cy="112395"/>
                          </a:xfrm>
                          <a:prstGeom prst="rect">
                            <a:avLst/>
                          </a:prstGeom>
                          <a:noFill/>
                          <a:ln w="9525">
                            <a:noFill/>
                            <a:miter lim="800000"/>
                            <a:headEnd/>
                            <a:tailEnd/>
                          </a:ln>
                        </pic:spPr>
                      </pic:pic>
                    </a:graphicData>
                  </a:graphic>
                </wp:inline>
              </w:drawing>
            </w:r>
            <w:r>
              <w:drawing>
                <wp:inline distT="0" distB="0" distL="0" distR="0">
                  <wp:extent cx="603885" cy="112395"/>
                  <wp:effectExtent l="19050" t="0" r="5715" b="0"/>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pic:cNvPicPr>
                            <a:picLocks noChangeAspect="1" noChangeArrowheads="1"/>
                          </pic:cNvPicPr>
                        </pic:nvPicPr>
                        <pic:blipFill>
                          <a:blip r:embed="rId65" cstate="print"/>
                          <a:srcRect/>
                          <a:stretch>
                            <a:fillRect/>
                          </a:stretch>
                        </pic:blipFill>
                        <pic:spPr>
                          <a:xfrm>
                            <a:off x="0" y="0"/>
                            <a:ext cx="603885" cy="112395"/>
                          </a:xfrm>
                          <a:prstGeom prst="rect">
                            <a:avLst/>
                          </a:prstGeom>
                          <a:noFill/>
                          <a:ln w="9525">
                            <a:noFill/>
                            <a:miter lim="800000"/>
                            <a:headEnd/>
                            <a:tailEnd/>
                          </a:ln>
                        </pic:spPr>
                      </pic:pic>
                    </a:graphicData>
                  </a:graphic>
                </wp:inline>
              </w:drawing>
            </w:r>
            <w:r>
              <w:t>55.88%</w:t>
            </w:r>
          </w:p>
        </w:tc>
      </w:tr>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F9F9F9"/>
            <w:vAlign w:val="center"/>
          </w:tcPr>
          <w:p>
            <w:r>
              <w:t>科技咨询服务标准</w:t>
            </w:r>
          </w:p>
        </w:tc>
        <w:tc>
          <w:tcPr>
            <w:tcW w:w="0" w:type="auto"/>
            <w:shd w:val="clear" w:color="auto" w:fill="F9F9F9"/>
            <w:vAlign w:val="center"/>
          </w:tcPr>
          <w:p>
            <w:pPr>
              <w:jc w:val="center"/>
            </w:pPr>
            <w:r>
              <w:t>89</w:t>
            </w:r>
          </w:p>
        </w:tc>
        <w:tc>
          <w:tcPr>
            <w:tcW w:w="0" w:type="auto"/>
            <w:shd w:val="clear" w:color="auto" w:fill="F9F9F9"/>
            <w:vAlign w:val="center"/>
          </w:tcPr>
          <w:p>
            <w:r>
              <w:drawing>
                <wp:inline distT="0" distB="0" distL="0" distR="0">
                  <wp:extent cx="871220" cy="112395"/>
                  <wp:effectExtent l="19050" t="0" r="5080" b="0"/>
                  <wp:docPr id="7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pic:cNvPicPr>
                            <a:picLocks noChangeAspect="1" noChangeArrowheads="1"/>
                          </pic:cNvPicPr>
                        </pic:nvPicPr>
                        <pic:blipFill>
                          <a:blip r:embed="rId66" cstate="print"/>
                          <a:srcRect/>
                          <a:stretch>
                            <a:fillRect/>
                          </a:stretch>
                        </pic:blipFill>
                        <pic:spPr>
                          <a:xfrm>
                            <a:off x="0" y="0"/>
                            <a:ext cx="871220" cy="112395"/>
                          </a:xfrm>
                          <a:prstGeom prst="rect">
                            <a:avLst/>
                          </a:prstGeom>
                          <a:noFill/>
                          <a:ln w="9525">
                            <a:noFill/>
                            <a:miter lim="800000"/>
                            <a:headEnd/>
                            <a:tailEnd/>
                          </a:ln>
                        </pic:spPr>
                      </pic:pic>
                    </a:graphicData>
                  </a:graphic>
                </wp:inline>
              </w:drawing>
            </w:r>
            <w:r>
              <w:drawing>
                <wp:inline distT="0" distB="0" distL="0" distR="0">
                  <wp:extent cx="474345" cy="112395"/>
                  <wp:effectExtent l="19050" t="0" r="1905" b="0"/>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2"/>
                          <pic:cNvPicPr>
                            <a:picLocks noChangeAspect="1" noChangeArrowheads="1"/>
                          </pic:cNvPicPr>
                        </pic:nvPicPr>
                        <pic:blipFill>
                          <a:blip r:embed="rId67" cstate="print"/>
                          <a:srcRect/>
                          <a:stretch>
                            <a:fillRect/>
                          </a:stretch>
                        </pic:blipFill>
                        <pic:spPr>
                          <a:xfrm>
                            <a:off x="0" y="0"/>
                            <a:ext cx="474345" cy="112395"/>
                          </a:xfrm>
                          <a:prstGeom prst="rect">
                            <a:avLst/>
                          </a:prstGeom>
                          <a:noFill/>
                          <a:ln w="9525">
                            <a:noFill/>
                            <a:miter lim="800000"/>
                            <a:headEnd/>
                            <a:tailEnd/>
                          </a:ln>
                        </pic:spPr>
                      </pic:pic>
                    </a:graphicData>
                  </a:graphic>
                </wp:inline>
              </w:drawing>
            </w:r>
            <w:r>
              <w:t>65.44%</w:t>
            </w:r>
          </w:p>
        </w:tc>
      </w:tr>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FFFFFF"/>
            <w:vAlign w:val="center"/>
          </w:tcPr>
          <w:p>
            <w:r>
              <w:t>科技金融服务标准</w:t>
            </w:r>
          </w:p>
        </w:tc>
        <w:tc>
          <w:tcPr>
            <w:tcW w:w="0" w:type="auto"/>
            <w:shd w:val="clear" w:color="auto" w:fill="FFFFFF"/>
            <w:vAlign w:val="center"/>
          </w:tcPr>
          <w:p>
            <w:pPr>
              <w:jc w:val="center"/>
            </w:pPr>
            <w:r>
              <w:t>51</w:t>
            </w:r>
          </w:p>
        </w:tc>
        <w:tc>
          <w:tcPr>
            <w:tcW w:w="0" w:type="auto"/>
            <w:shd w:val="clear" w:color="auto" w:fill="FFFFFF"/>
            <w:vAlign w:val="center"/>
          </w:tcPr>
          <w:p>
            <w:r>
              <w:drawing>
                <wp:inline distT="0" distB="0" distL="0" distR="0">
                  <wp:extent cx="509270" cy="112395"/>
                  <wp:effectExtent l="19050" t="0" r="5080" b="0"/>
                  <wp:docPr id="7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3"/>
                          <pic:cNvPicPr>
                            <a:picLocks noChangeAspect="1" noChangeArrowheads="1"/>
                          </pic:cNvPicPr>
                        </pic:nvPicPr>
                        <pic:blipFill>
                          <a:blip r:embed="rId68" cstate="print"/>
                          <a:srcRect/>
                          <a:stretch>
                            <a:fillRect/>
                          </a:stretch>
                        </pic:blipFill>
                        <pic:spPr>
                          <a:xfrm>
                            <a:off x="0" y="0"/>
                            <a:ext cx="509270" cy="112395"/>
                          </a:xfrm>
                          <a:prstGeom prst="rect">
                            <a:avLst/>
                          </a:prstGeom>
                          <a:noFill/>
                          <a:ln w="9525">
                            <a:noFill/>
                            <a:miter lim="800000"/>
                            <a:headEnd/>
                            <a:tailEnd/>
                          </a:ln>
                        </pic:spPr>
                      </pic:pic>
                    </a:graphicData>
                  </a:graphic>
                </wp:inline>
              </w:drawing>
            </w:r>
            <w:r>
              <w:drawing>
                <wp:inline distT="0" distB="0" distL="0" distR="0">
                  <wp:extent cx="845185" cy="112395"/>
                  <wp:effectExtent l="19050" t="0" r="0" b="0"/>
                  <wp:docPr id="7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pic:cNvPicPr>
                            <a:picLocks noChangeAspect="1" noChangeArrowheads="1"/>
                          </pic:cNvPicPr>
                        </pic:nvPicPr>
                        <pic:blipFill>
                          <a:blip r:embed="rId69" cstate="print"/>
                          <a:srcRect/>
                          <a:stretch>
                            <a:fillRect/>
                          </a:stretch>
                        </pic:blipFill>
                        <pic:spPr>
                          <a:xfrm>
                            <a:off x="0" y="0"/>
                            <a:ext cx="845185" cy="112395"/>
                          </a:xfrm>
                          <a:prstGeom prst="rect">
                            <a:avLst/>
                          </a:prstGeom>
                          <a:noFill/>
                          <a:ln w="9525">
                            <a:noFill/>
                            <a:miter lim="800000"/>
                            <a:headEnd/>
                            <a:tailEnd/>
                          </a:ln>
                        </pic:spPr>
                      </pic:pic>
                    </a:graphicData>
                  </a:graphic>
                </wp:inline>
              </w:drawing>
            </w:r>
            <w:r>
              <w:t>37.5%</w:t>
            </w:r>
          </w:p>
        </w:tc>
      </w:tr>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F9F9F9"/>
            <w:vAlign w:val="center"/>
          </w:tcPr>
          <w:p>
            <w:r>
              <w:t>其他</w:t>
            </w:r>
          </w:p>
        </w:tc>
        <w:tc>
          <w:tcPr>
            <w:tcW w:w="0" w:type="auto"/>
            <w:shd w:val="clear" w:color="auto" w:fill="F9F9F9"/>
            <w:vAlign w:val="center"/>
          </w:tcPr>
          <w:p>
            <w:pPr>
              <w:jc w:val="center"/>
            </w:pPr>
            <w:r>
              <w:t>8</w:t>
            </w:r>
          </w:p>
        </w:tc>
        <w:tc>
          <w:tcPr>
            <w:tcW w:w="0" w:type="auto"/>
            <w:shd w:val="clear" w:color="auto" w:fill="F9F9F9"/>
            <w:vAlign w:val="center"/>
          </w:tcPr>
          <w:p>
            <w:r>
              <w:drawing>
                <wp:inline distT="0" distB="0" distL="0" distR="0">
                  <wp:extent cx="77470" cy="112395"/>
                  <wp:effectExtent l="19050" t="0" r="0" b="0"/>
                  <wp:docPr id="7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5"/>
                          <pic:cNvPicPr>
                            <a:picLocks noChangeAspect="1" noChangeArrowheads="1"/>
                          </pic:cNvPicPr>
                        </pic:nvPicPr>
                        <pic:blipFill>
                          <a:blip r:embed="rId70" cstate="print"/>
                          <a:srcRect/>
                          <a:stretch>
                            <a:fillRect/>
                          </a:stretch>
                        </pic:blipFill>
                        <pic:spPr>
                          <a:xfrm>
                            <a:off x="0" y="0"/>
                            <a:ext cx="77470" cy="112395"/>
                          </a:xfrm>
                          <a:prstGeom prst="rect">
                            <a:avLst/>
                          </a:prstGeom>
                          <a:noFill/>
                          <a:ln w="9525">
                            <a:noFill/>
                            <a:miter lim="800000"/>
                            <a:headEnd/>
                            <a:tailEnd/>
                          </a:ln>
                        </pic:spPr>
                      </pic:pic>
                    </a:graphicData>
                  </a:graphic>
                </wp:inline>
              </w:drawing>
            </w:r>
            <w:r>
              <w:drawing>
                <wp:inline distT="0" distB="0" distL="0" distR="0">
                  <wp:extent cx="1276985" cy="112395"/>
                  <wp:effectExtent l="19050" t="0" r="0" b="0"/>
                  <wp:docPr id="76"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pic:cNvPicPr>
                            <a:picLocks noChangeAspect="1" noChangeArrowheads="1"/>
                          </pic:cNvPicPr>
                        </pic:nvPicPr>
                        <pic:blipFill>
                          <a:blip r:embed="rId71" cstate="print"/>
                          <a:srcRect/>
                          <a:stretch>
                            <a:fillRect/>
                          </a:stretch>
                        </pic:blipFill>
                        <pic:spPr>
                          <a:xfrm>
                            <a:off x="0" y="0"/>
                            <a:ext cx="1276985" cy="112395"/>
                          </a:xfrm>
                          <a:prstGeom prst="rect">
                            <a:avLst/>
                          </a:prstGeom>
                          <a:noFill/>
                          <a:ln w="9525">
                            <a:noFill/>
                            <a:miter lim="800000"/>
                            <a:headEnd/>
                            <a:tailEnd/>
                          </a:ln>
                        </pic:spPr>
                      </pic:pic>
                    </a:graphicData>
                  </a:graphic>
                </wp:inline>
              </w:drawing>
            </w:r>
            <w:r>
              <w:t>5.88%</w:t>
            </w:r>
          </w:p>
        </w:tc>
      </w:tr>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E0E0E0"/>
            <w:vAlign w:val="center"/>
          </w:tcPr>
          <w:p>
            <w:r>
              <w:t>本题有效填写人次</w:t>
            </w:r>
          </w:p>
        </w:tc>
        <w:tc>
          <w:tcPr>
            <w:tcW w:w="0" w:type="auto"/>
            <w:shd w:val="clear" w:color="auto" w:fill="E0E0E0"/>
            <w:vAlign w:val="center"/>
          </w:tcPr>
          <w:p>
            <w:pPr>
              <w:jc w:val="center"/>
            </w:pPr>
            <w:r>
              <w:t>136</w:t>
            </w:r>
          </w:p>
        </w:tc>
        <w:tc>
          <w:tcPr>
            <w:tcW w:w="0" w:type="auto"/>
            <w:shd w:val="clear" w:color="auto" w:fill="E0E0E0"/>
            <w:vAlign w:val="center"/>
          </w:tcPr>
          <w:p/>
        </w:tc>
      </w:tr>
    </w:tbl>
    <w:p/>
    <w:p/>
    <w:p>
      <w:r>
        <w:rPr>
          <w:color w:val="000000"/>
          <w:sz w:val="24"/>
        </w:rPr>
        <w:t>第</w:t>
      </w:r>
      <w:r>
        <w:rPr>
          <w:rFonts w:hint="eastAsia"/>
          <w:color w:val="000000"/>
          <w:sz w:val="24"/>
        </w:rPr>
        <w:t>8</w:t>
      </w:r>
      <w:r>
        <w:rPr>
          <w:color w:val="000000"/>
          <w:sz w:val="24"/>
        </w:rPr>
        <w:t xml:space="preserve">题   贵单位希望得到哪些标准化服务？   </w:t>
      </w:r>
    </w:p>
    <w:p>
      <w:pPr>
        <w:rPr>
          <w:color w:val="0066FF"/>
        </w:rPr>
      </w:pPr>
    </w:p>
    <w:tbl>
      <w:tblPr>
        <w:tblStyle w:val="12"/>
        <w:tblW w:w="5000" w:type="pct"/>
        <w:tblInd w:w="0" w:type="dxa"/>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Layout w:type="autofit"/>
        <w:tblCellMar>
          <w:top w:w="0" w:type="dxa"/>
          <w:left w:w="108" w:type="dxa"/>
          <w:bottom w:w="0" w:type="dxa"/>
          <w:right w:w="108" w:type="dxa"/>
        </w:tblCellMar>
      </w:tblPr>
      <w:tblGrid>
        <w:gridCol w:w="2885"/>
        <w:gridCol w:w="968"/>
        <w:gridCol w:w="4669"/>
      </w:tblGrid>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E0E0E0"/>
            <w:vAlign w:val="center"/>
          </w:tcPr>
          <w:p>
            <w:pPr>
              <w:jc w:val="center"/>
            </w:pPr>
            <w:r>
              <w:t>选项</w:t>
            </w:r>
          </w:p>
        </w:tc>
        <w:tc>
          <w:tcPr>
            <w:tcW w:w="0" w:type="auto"/>
            <w:shd w:val="clear" w:color="auto" w:fill="E0E0E0"/>
            <w:vAlign w:val="center"/>
          </w:tcPr>
          <w:p>
            <w:pPr>
              <w:jc w:val="center"/>
            </w:pPr>
            <w:r>
              <w:t>小计</w:t>
            </w:r>
          </w:p>
        </w:tc>
        <w:tc>
          <w:tcPr>
            <w:tcW w:w="0" w:type="auto"/>
            <w:shd w:val="clear" w:color="auto" w:fill="E0E0E0"/>
            <w:vAlign w:val="center"/>
          </w:tcPr>
          <w:p>
            <w:pPr>
              <w:jc w:val="center"/>
            </w:pPr>
            <w:r>
              <w:t>比例</w:t>
            </w:r>
          </w:p>
        </w:tc>
      </w:tr>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FFFFFF"/>
            <w:vAlign w:val="center"/>
          </w:tcPr>
          <w:p>
            <w:r>
              <w:t>标准化政策解读</w:t>
            </w:r>
          </w:p>
        </w:tc>
        <w:tc>
          <w:tcPr>
            <w:tcW w:w="0" w:type="auto"/>
            <w:shd w:val="clear" w:color="auto" w:fill="FFFFFF"/>
            <w:vAlign w:val="center"/>
          </w:tcPr>
          <w:p>
            <w:pPr>
              <w:jc w:val="center"/>
            </w:pPr>
            <w:r>
              <w:t>96</w:t>
            </w:r>
          </w:p>
        </w:tc>
        <w:tc>
          <w:tcPr>
            <w:tcW w:w="0" w:type="auto"/>
            <w:shd w:val="clear" w:color="auto" w:fill="FFFFFF"/>
            <w:vAlign w:val="center"/>
          </w:tcPr>
          <w:p>
            <w:r>
              <w:drawing>
                <wp:inline distT="0" distB="0" distL="0" distR="0">
                  <wp:extent cx="948690" cy="112395"/>
                  <wp:effectExtent l="19050" t="0" r="3810" b="0"/>
                  <wp:docPr id="77"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7"/>
                          <pic:cNvPicPr>
                            <a:picLocks noChangeAspect="1" noChangeArrowheads="1"/>
                          </pic:cNvPicPr>
                        </pic:nvPicPr>
                        <pic:blipFill>
                          <a:blip r:embed="rId72" cstate="print"/>
                          <a:srcRect/>
                          <a:stretch>
                            <a:fillRect/>
                          </a:stretch>
                        </pic:blipFill>
                        <pic:spPr>
                          <a:xfrm>
                            <a:off x="0" y="0"/>
                            <a:ext cx="948690" cy="112395"/>
                          </a:xfrm>
                          <a:prstGeom prst="rect">
                            <a:avLst/>
                          </a:prstGeom>
                          <a:noFill/>
                          <a:ln w="9525">
                            <a:noFill/>
                            <a:miter lim="800000"/>
                            <a:headEnd/>
                            <a:tailEnd/>
                          </a:ln>
                        </pic:spPr>
                      </pic:pic>
                    </a:graphicData>
                  </a:graphic>
                </wp:inline>
              </w:drawing>
            </w:r>
            <w:r>
              <w:drawing>
                <wp:inline distT="0" distB="0" distL="0" distR="0">
                  <wp:extent cx="396875" cy="112395"/>
                  <wp:effectExtent l="19050" t="0" r="3175" b="0"/>
                  <wp:docPr id="78"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8"/>
                          <pic:cNvPicPr>
                            <a:picLocks noChangeAspect="1" noChangeArrowheads="1"/>
                          </pic:cNvPicPr>
                        </pic:nvPicPr>
                        <pic:blipFill>
                          <a:blip r:embed="rId73" cstate="print"/>
                          <a:srcRect/>
                          <a:stretch>
                            <a:fillRect/>
                          </a:stretch>
                        </pic:blipFill>
                        <pic:spPr>
                          <a:xfrm>
                            <a:off x="0" y="0"/>
                            <a:ext cx="396875" cy="112395"/>
                          </a:xfrm>
                          <a:prstGeom prst="rect">
                            <a:avLst/>
                          </a:prstGeom>
                          <a:noFill/>
                          <a:ln w="9525">
                            <a:noFill/>
                            <a:miter lim="800000"/>
                            <a:headEnd/>
                            <a:tailEnd/>
                          </a:ln>
                        </pic:spPr>
                      </pic:pic>
                    </a:graphicData>
                  </a:graphic>
                </wp:inline>
              </w:drawing>
            </w:r>
            <w:r>
              <w:t>70.59%</w:t>
            </w:r>
          </w:p>
        </w:tc>
      </w:tr>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F9F9F9"/>
            <w:vAlign w:val="center"/>
          </w:tcPr>
          <w:p>
            <w:r>
              <w:t>标准化知识培训</w:t>
            </w:r>
          </w:p>
        </w:tc>
        <w:tc>
          <w:tcPr>
            <w:tcW w:w="0" w:type="auto"/>
            <w:shd w:val="clear" w:color="auto" w:fill="F9F9F9"/>
            <w:vAlign w:val="center"/>
          </w:tcPr>
          <w:p>
            <w:pPr>
              <w:jc w:val="center"/>
            </w:pPr>
            <w:r>
              <w:t>99</w:t>
            </w:r>
          </w:p>
        </w:tc>
        <w:tc>
          <w:tcPr>
            <w:tcW w:w="0" w:type="auto"/>
            <w:shd w:val="clear" w:color="auto" w:fill="F9F9F9"/>
            <w:vAlign w:val="center"/>
          </w:tcPr>
          <w:p>
            <w:r>
              <w:drawing>
                <wp:inline distT="0" distB="0" distL="0" distR="0">
                  <wp:extent cx="983615" cy="112395"/>
                  <wp:effectExtent l="19050" t="0" r="6985" b="0"/>
                  <wp:docPr id="79"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9"/>
                          <pic:cNvPicPr>
                            <a:picLocks noChangeAspect="1" noChangeArrowheads="1"/>
                          </pic:cNvPicPr>
                        </pic:nvPicPr>
                        <pic:blipFill>
                          <a:blip r:embed="rId18" cstate="print"/>
                          <a:srcRect/>
                          <a:stretch>
                            <a:fillRect/>
                          </a:stretch>
                        </pic:blipFill>
                        <pic:spPr>
                          <a:xfrm>
                            <a:off x="0" y="0"/>
                            <a:ext cx="983615" cy="112395"/>
                          </a:xfrm>
                          <a:prstGeom prst="rect">
                            <a:avLst/>
                          </a:prstGeom>
                          <a:noFill/>
                          <a:ln w="9525">
                            <a:noFill/>
                            <a:miter lim="800000"/>
                            <a:headEnd/>
                            <a:tailEnd/>
                          </a:ln>
                        </pic:spPr>
                      </pic:pic>
                    </a:graphicData>
                  </a:graphic>
                </wp:inline>
              </w:drawing>
            </w:r>
            <w:r>
              <w:drawing>
                <wp:inline distT="0" distB="0" distL="0" distR="0">
                  <wp:extent cx="370840" cy="112395"/>
                  <wp:effectExtent l="19050" t="0" r="0" b="0"/>
                  <wp:docPr id="80"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80"/>
                          <pic:cNvPicPr>
                            <a:picLocks noChangeAspect="1" noChangeArrowheads="1"/>
                          </pic:cNvPicPr>
                        </pic:nvPicPr>
                        <pic:blipFill>
                          <a:blip r:embed="rId19" cstate="print"/>
                          <a:srcRect/>
                          <a:stretch>
                            <a:fillRect/>
                          </a:stretch>
                        </pic:blipFill>
                        <pic:spPr>
                          <a:xfrm>
                            <a:off x="0" y="0"/>
                            <a:ext cx="370840" cy="112395"/>
                          </a:xfrm>
                          <a:prstGeom prst="rect">
                            <a:avLst/>
                          </a:prstGeom>
                          <a:noFill/>
                          <a:ln w="9525">
                            <a:noFill/>
                            <a:miter lim="800000"/>
                            <a:headEnd/>
                            <a:tailEnd/>
                          </a:ln>
                        </pic:spPr>
                      </pic:pic>
                    </a:graphicData>
                  </a:graphic>
                </wp:inline>
              </w:drawing>
            </w:r>
            <w:r>
              <w:t>72.79%</w:t>
            </w:r>
          </w:p>
        </w:tc>
      </w:tr>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FFFFFF"/>
            <w:vAlign w:val="center"/>
          </w:tcPr>
          <w:p>
            <w:r>
              <w:t>知识产权政策咨询</w:t>
            </w:r>
          </w:p>
        </w:tc>
        <w:tc>
          <w:tcPr>
            <w:tcW w:w="0" w:type="auto"/>
            <w:shd w:val="clear" w:color="auto" w:fill="FFFFFF"/>
            <w:vAlign w:val="center"/>
          </w:tcPr>
          <w:p>
            <w:pPr>
              <w:jc w:val="center"/>
            </w:pPr>
            <w:r>
              <w:t>75</w:t>
            </w:r>
          </w:p>
        </w:tc>
        <w:tc>
          <w:tcPr>
            <w:tcW w:w="0" w:type="auto"/>
            <w:shd w:val="clear" w:color="auto" w:fill="FFFFFF"/>
            <w:vAlign w:val="center"/>
          </w:tcPr>
          <w:p>
            <w:r>
              <w:drawing>
                <wp:inline distT="0" distB="0" distL="0" distR="0">
                  <wp:extent cx="741680" cy="112395"/>
                  <wp:effectExtent l="19050" t="0" r="1270" b="0"/>
                  <wp:docPr id="81"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81"/>
                          <pic:cNvPicPr>
                            <a:picLocks noChangeAspect="1" noChangeArrowheads="1"/>
                          </pic:cNvPicPr>
                        </pic:nvPicPr>
                        <pic:blipFill>
                          <a:blip r:embed="rId74" cstate="print"/>
                          <a:srcRect/>
                          <a:stretch>
                            <a:fillRect/>
                          </a:stretch>
                        </pic:blipFill>
                        <pic:spPr>
                          <a:xfrm>
                            <a:off x="0" y="0"/>
                            <a:ext cx="741680" cy="112395"/>
                          </a:xfrm>
                          <a:prstGeom prst="rect">
                            <a:avLst/>
                          </a:prstGeom>
                          <a:noFill/>
                          <a:ln w="9525">
                            <a:noFill/>
                            <a:miter lim="800000"/>
                            <a:headEnd/>
                            <a:tailEnd/>
                          </a:ln>
                        </pic:spPr>
                      </pic:pic>
                    </a:graphicData>
                  </a:graphic>
                </wp:inline>
              </w:drawing>
            </w:r>
            <w:r>
              <w:drawing>
                <wp:inline distT="0" distB="0" distL="0" distR="0">
                  <wp:extent cx="612775" cy="112395"/>
                  <wp:effectExtent l="19050" t="0" r="0" b="0"/>
                  <wp:docPr id="82"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2"/>
                          <pic:cNvPicPr>
                            <a:picLocks noChangeAspect="1" noChangeArrowheads="1"/>
                          </pic:cNvPicPr>
                        </pic:nvPicPr>
                        <pic:blipFill>
                          <a:blip r:embed="rId75" cstate="print"/>
                          <a:srcRect/>
                          <a:stretch>
                            <a:fillRect/>
                          </a:stretch>
                        </pic:blipFill>
                        <pic:spPr>
                          <a:xfrm>
                            <a:off x="0" y="0"/>
                            <a:ext cx="612775" cy="112395"/>
                          </a:xfrm>
                          <a:prstGeom prst="rect">
                            <a:avLst/>
                          </a:prstGeom>
                          <a:noFill/>
                          <a:ln w="9525">
                            <a:noFill/>
                            <a:miter lim="800000"/>
                            <a:headEnd/>
                            <a:tailEnd/>
                          </a:ln>
                        </pic:spPr>
                      </pic:pic>
                    </a:graphicData>
                  </a:graphic>
                </wp:inline>
              </w:drawing>
            </w:r>
            <w:r>
              <w:t>55.15%</w:t>
            </w:r>
          </w:p>
        </w:tc>
      </w:tr>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F9F9F9"/>
            <w:vAlign w:val="center"/>
          </w:tcPr>
          <w:p>
            <w:r>
              <w:t>标准宣传贯彻</w:t>
            </w:r>
          </w:p>
        </w:tc>
        <w:tc>
          <w:tcPr>
            <w:tcW w:w="0" w:type="auto"/>
            <w:shd w:val="clear" w:color="auto" w:fill="F9F9F9"/>
            <w:vAlign w:val="center"/>
          </w:tcPr>
          <w:p>
            <w:pPr>
              <w:jc w:val="center"/>
            </w:pPr>
            <w:r>
              <w:t>52</w:t>
            </w:r>
          </w:p>
        </w:tc>
        <w:tc>
          <w:tcPr>
            <w:tcW w:w="0" w:type="auto"/>
            <w:shd w:val="clear" w:color="auto" w:fill="F9F9F9"/>
            <w:vAlign w:val="center"/>
          </w:tcPr>
          <w:p>
            <w:r>
              <w:drawing>
                <wp:inline distT="0" distB="0" distL="0" distR="0">
                  <wp:extent cx="517525" cy="112395"/>
                  <wp:effectExtent l="19050" t="0" r="0" b="0"/>
                  <wp:docPr id="83"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83"/>
                          <pic:cNvPicPr>
                            <a:picLocks noChangeAspect="1" noChangeArrowheads="1"/>
                          </pic:cNvPicPr>
                        </pic:nvPicPr>
                        <pic:blipFill>
                          <a:blip r:embed="rId76" cstate="print"/>
                          <a:srcRect/>
                          <a:stretch>
                            <a:fillRect/>
                          </a:stretch>
                        </pic:blipFill>
                        <pic:spPr>
                          <a:xfrm>
                            <a:off x="0" y="0"/>
                            <a:ext cx="517525" cy="112395"/>
                          </a:xfrm>
                          <a:prstGeom prst="rect">
                            <a:avLst/>
                          </a:prstGeom>
                          <a:noFill/>
                          <a:ln w="9525">
                            <a:noFill/>
                            <a:miter lim="800000"/>
                            <a:headEnd/>
                            <a:tailEnd/>
                          </a:ln>
                        </pic:spPr>
                      </pic:pic>
                    </a:graphicData>
                  </a:graphic>
                </wp:inline>
              </w:drawing>
            </w:r>
            <w:r>
              <w:drawing>
                <wp:inline distT="0" distB="0" distL="0" distR="0">
                  <wp:extent cx="836930" cy="112395"/>
                  <wp:effectExtent l="19050" t="0" r="1270" b="0"/>
                  <wp:docPr id="84"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4"/>
                          <pic:cNvPicPr>
                            <a:picLocks noChangeAspect="1" noChangeArrowheads="1"/>
                          </pic:cNvPicPr>
                        </pic:nvPicPr>
                        <pic:blipFill>
                          <a:blip r:embed="rId77" cstate="print"/>
                          <a:srcRect/>
                          <a:stretch>
                            <a:fillRect/>
                          </a:stretch>
                        </pic:blipFill>
                        <pic:spPr>
                          <a:xfrm>
                            <a:off x="0" y="0"/>
                            <a:ext cx="836930" cy="112395"/>
                          </a:xfrm>
                          <a:prstGeom prst="rect">
                            <a:avLst/>
                          </a:prstGeom>
                          <a:noFill/>
                          <a:ln w="9525">
                            <a:noFill/>
                            <a:miter lim="800000"/>
                            <a:headEnd/>
                            <a:tailEnd/>
                          </a:ln>
                        </pic:spPr>
                      </pic:pic>
                    </a:graphicData>
                  </a:graphic>
                </wp:inline>
              </w:drawing>
            </w:r>
            <w:r>
              <w:t>38.24%</w:t>
            </w:r>
          </w:p>
        </w:tc>
      </w:tr>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FFFFFF"/>
            <w:vAlign w:val="center"/>
          </w:tcPr>
          <w:p>
            <w:r>
              <w:t>标准化活动参与</w:t>
            </w:r>
          </w:p>
        </w:tc>
        <w:tc>
          <w:tcPr>
            <w:tcW w:w="0" w:type="auto"/>
            <w:shd w:val="clear" w:color="auto" w:fill="FFFFFF"/>
            <w:vAlign w:val="center"/>
          </w:tcPr>
          <w:p>
            <w:pPr>
              <w:jc w:val="center"/>
            </w:pPr>
            <w:r>
              <w:t>76</w:t>
            </w:r>
          </w:p>
        </w:tc>
        <w:tc>
          <w:tcPr>
            <w:tcW w:w="0" w:type="auto"/>
            <w:shd w:val="clear" w:color="auto" w:fill="FFFFFF"/>
            <w:vAlign w:val="center"/>
          </w:tcPr>
          <w:p>
            <w:r>
              <w:drawing>
                <wp:inline distT="0" distB="0" distL="0" distR="0">
                  <wp:extent cx="750570" cy="112395"/>
                  <wp:effectExtent l="19050" t="0" r="0" b="0"/>
                  <wp:docPr id="85"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5"/>
                          <pic:cNvPicPr>
                            <a:picLocks noChangeAspect="1" noChangeArrowheads="1"/>
                          </pic:cNvPicPr>
                        </pic:nvPicPr>
                        <pic:blipFill>
                          <a:blip r:embed="rId64" cstate="print"/>
                          <a:srcRect/>
                          <a:stretch>
                            <a:fillRect/>
                          </a:stretch>
                        </pic:blipFill>
                        <pic:spPr>
                          <a:xfrm>
                            <a:off x="0" y="0"/>
                            <a:ext cx="750570" cy="112395"/>
                          </a:xfrm>
                          <a:prstGeom prst="rect">
                            <a:avLst/>
                          </a:prstGeom>
                          <a:noFill/>
                          <a:ln w="9525">
                            <a:noFill/>
                            <a:miter lim="800000"/>
                            <a:headEnd/>
                            <a:tailEnd/>
                          </a:ln>
                        </pic:spPr>
                      </pic:pic>
                    </a:graphicData>
                  </a:graphic>
                </wp:inline>
              </w:drawing>
            </w:r>
            <w:r>
              <w:drawing>
                <wp:inline distT="0" distB="0" distL="0" distR="0">
                  <wp:extent cx="603885" cy="112395"/>
                  <wp:effectExtent l="19050" t="0" r="5715" b="0"/>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pic:cNvPicPr>
                            <a:picLocks noChangeAspect="1" noChangeArrowheads="1"/>
                          </pic:cNvPicPr>
                        </pic:nvPicPr>
                        <pic:blipFill>
                          <a:blip r:embed="rId65" cstate="print"/>
                          <a:srcRect/>
                          <a:stretch>
                            <a:fillRect/>
                          </a:stretch>
                        </pic:blipFill>
                        <pic:spPr>
                          <a:xfrm>
                            <a:off x="0" y="0"/>
                            <a:ext cx="603885" cy="112395"/>
                          </a:xfrm>
                          <a:prstGeom prst="rect">
                            <a:avLst/>
                          </a:prstGeom>
                          <a:noFill/>
                          <a:ln w="9525">
                            <a:noFill/>
                            <a:miter lim="800000"/>
                            <a:headEnd/>
                            <a:tailEnd/>
                          </a:ln>
                        </pic:spPr>
                      </pic:pic>
                    </a:graphicData>
                  </a:graphic>
                </wp:inline>
              </w:drawing>
            </w:r>
            <w:r>
              <w:t>55.88%</w:t>
            </w:r>
          </w:p>
        </w:tc>
      </w:tr>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F9F9F9"/>
            <w:vAlign w:val="center"/>
          </w:tcPr>
          <w:p>
            <w:r>
              <w:t>其他</w:t>
            </w:r>
          </w:p>
        </w:tc>
        <w:tc>
          <w:tcPr>
            <w:tcW w:w="0" w:type="auto"/>
            <w:shd w:val="clear" w:color="auto" w:fill="F9F9F9"/>
            <w:vAlign w:val="center"/>
          </w:tcPr>
          <w:p>
            <w:pPr>
              <w:jc w:val="center"/>
            </w:pPr>
            <w:r>
              <w:t>6</w:t>
            </w:r>
          </w:p>
        </w:tc>
        <w:tc>
          <w:tcPr>
            <w:tcW w:w="0" w:type="auto"/>
            <w:shd w:val="clear" w:color="auto" w:fill="F9F9F9"/>
            <w:vAlign w:val="center"/>
          </w:tcPr>
          <w:p>
            <w:r>
              <w:drawing>
                <wp:inline distT="0" distB="0" distL="0" distR="0">
                  <wp:extent cx="60325" cy="112395"/>
                  <wp:effectExtent l="19050" t="0" r="0" b="0"/>
                  <wp:docPr id="87"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7"/>
                          <pic:cNvPicPr>
                            <a:picLocks noChangeAspect="1" noChangeArrowheads="1"/>
                          </pic:cNvPicPr>
                        </pic:nvPicPr>
                        <pic:blipFill>
                          <a:blip r:embed="rId16" cstate="print"/>
                          <a:srcRect/>
                          <a:stretch>
                            <a:fillRect/>
                          </a:stretch>
                        </pic:blipFill>
                        <pic:spPr>
                          <a:xfrm>
                            <a:off x="0" y="0"/>
                            <a:ext cx="60325" cy="112395"/>
                          </a:xfrm>
                          <a:prstGeom prst="rect">
                            <a:avLst/>
                          </a:prstGeom>
                          <a:noFill/>
                          <a:ln w="9525">
                            <a:noFill/>
                            <a:miter lim="800000"/>
                            <a:headEnd/>
                            <a:tailEnd/>
                          </a:ln>
                        </pic:spPr>
                      </pic:pic>
                    </a:graphicData>
                  </a:graphic>
                </wp:inline>
              </w:drawing>
            </w:r>
            <w:r>
              <w:drawing>
                <wp:inline distT="0" distB="0" distL="0" distR="0">
                  <wp:extent cx="1294130" cy="112395"/>
                  <wp:effectExtent l="19050" t="0" r="1270" b="0"/>
                  <wp:docPr id="88"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88"/>
                          <pic:cNvPicPr>
                            <a:picLocks noChangeAspect="1" noChangeArrowheads="1"/>
                          </pic:cNvPicPr>
                        </pic:nvPicPr>
                        <pic:blipFill>
                          <a:blip r:embed="rId17" cstate="print"/>
                          <a:srcRect/>
                          <a:stretch>
                            <a:fillRect/>
                          </a:stretch>
                        </pic:blipFill>
                        <pic:spPr>
                          <a:xfrm>
                            <a:off x="0" y="0"/>
                            <a:ext cx="1294130" cy="112395"/>
                          </a:xfrm>
                          <a:prstGeom prst="rect">
                            <a:avLst/>
                          </a:prstGeom>
                          <a:noFill/>
                          <a:ln w="9525">
                            <a:noFill/>
                            <a:miter lim="800000"/>
                            <a:headEnd/>
                            <a:tailEnd/>
                          </a:ln>
                        </pic:spPr>
                      </pic:pic>
                    </a:graphicData>
                  </a:graphic>
                </wp:inline>
              </w:drawing>
            </w:r>
            <w:r>
              <w:t>4.41%</w:t>
            </w:r>
          </w:p>
        </w:tc>
      </w:tr>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E0E0E0"/>
            <w:vAlign w:val="center"/>
          </w:tcPr>
          <w:p>
            <w:r>
              <w:t>本题有效填写人次</w:t>
            </w:r>
          </w:p>
        </w:tc>
        <w:tc>
          <w:tcPr>
            <w:tcW w:w="0" w:type="auto"/>
            <w:shd w:val="clear" w:color="auto" w:fill="E0E0E0"/>
            <w:vAlign w:val="center"/>
          </w:tcPr>
          <w:p>
            <w:pPr>
              <w:jc w:val="center"/>
            </w:pPr>
            <w:r>
              <w:t>136</w:t>
            </w:r>
          </w:p>
        </w:tc>
        <w:tc>
          <w:tcPr>
            <w:tcW w:w="0" w:type="auto"/>
            <w:shd w:val="clear" w:color="auto" w:fill="E0E0E0"/>
            <w:vAlign w:val="center"/>
          </w:tcPr>
          <w:p/>
        </w:tc>
      </w:tr>
    </w:tbl>
    <w:p/>
    <w:p/>
    <w:p>
      <w:r>
        <w:rPr>
          <w:color w:val="000000"/>
          <w:sz w:val="24"/>
        </w:rPr>
        <w:t>第</w:t>
      </w:r>
      <w:r>
        <w:rPr>
          <w:rFonts w:hint="eastAsia"/>
          <w:color w:val="000000"/>
          <w:sz w:val="24"/>
        </w:rPr>
        <w:t>9</w:t>
      </w:r>
      <w:r>
        <w:rPr>
          <w:color w:val="000000"/>
          <w:sz w:val="24"/>
        </w:rPr>
        <w:t xml:space="preserve">题   贵单位对标准化工作重视程度怎样？   </w:t>
      </w:r>
    </w:p>
    <w:p>
      <w:pPr>
        <w:rPr>
          <w:color w:val="0066FF"/>
        </w:rPr>
      </w:pPr>
    </w:p>
    <w:tbl>
      <w:tblPr>
        <w:tblStyle w:val="12"/>
        <w:tblW w:w="5000" w:type="pct"/>
        <w:tblInd w:w="0" w:type="dxa"/>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Layout w:type="autofit"/>
        <w:tblCellMar>
          <w:top w:w="0" w:type="dxa"/>
          <w:left w:w="108" w:type="dxa"/>
          <w:bottom w:w="0" w:type="dxa"/>
          <w:right w:w="108" w:type="dxa"/>
        </w:tblCellMar>
      </w:tblPr>
      <w:tblGrid>
        <w:gridCol w:w="2891"/>
        <w:gridCol w:w="970"/>
        <w:gridCol w:w="4661"/>
      </w:tblGrid>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E0E0E0"/>
            <w:vAlign w:val="center"/>
          </w:tcPr>
          <w:p>
            <w:pPr>
              <w:jc w:val="center"/>
            </w:pPr>
            <w:r>
              <w:t>选项</w:t>
            </w:r>
          </w:p>
        </w:tc>
        <w:tc>
          <w:tcPr>
            <w:tcW w:w="0" w:type="auto"/>
            <w:shd w:val="clear" w:color="auto" w:fill="E0E0E0"/>
            <w:vAlign w:val="center"/>
          </w:tcPr>
          <w:p>
            <w:pPr>
              <w:jc w:val="center"/>
            </w:pPr>
            <w:r>
              <w:t>小计</w:t>
            </w:r>
          </w:p>
        </w:tc>
        <w:tc>
          <w:tcPr>
            <w:tcW w:w="0" w:type="auto"/>
            <w:shd w:val="clear" w:color="auto" w:fill="E0E0E0"/>
            <w:vAlign w:val="center"/>
          </w:tcPr>
          <w:p>
            <w:pPr>
              <w:jc w:val="center"/>
            </w:pPr>
            <w:r>
              <w:t>比例</w:t>
            </w:r>
          </w:p>
        </w:tc>
      </w:tr>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FFFFFF"/>
            <w:vAlign w:val="center"/>
          </w:tcPr>
          <w:p>
            <w:r>
              <w:t>非常重视</w:t>
            </w:r>
          </w:p>
        </w:tc>
        <w:tc>
          <w:tcPr>
            <w:tcW w:w="0" w:type="auto"/>
            <w:shd w:val="clear" w:color="auto" w:fill="FFFFFF"/>
            <w:vAlign w:val="center"/>
          </w:tcPr>
          <w:p>
            <w:pPr>
              <w:jc w:val="center"/>
            </w:pPr>
            <w:r>
              <w:t>81</w:t>
            </w:r>
          </w:p>
        </w:tc>
        <w:tc>
          <w:tcPr>
            <w:tcW w:w="0" w:type="auto"/>
            <w:shd w:val="clear" w:color="auto" w:fill="FFFFFF"/>
            <w:vAlign w:val="center"/>
          </w:tcPr>
          <w:p>
            <w:r>
              <w:drawing>
                <wp:inline distT="0" distB="0" distL="0" distR="0">
                  <wp:extent cx="802005" cy="112395"/>
                  <wp:effectExtent l="19050" t="0" r="0" b="0"/>
                  <wp:docPr id="89"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89"/>
                          <pic:cNvPicPr>
                            <a:picLocks noChangeAspect="1" noChangeArrowheads="1"/>
                          </pic:cNvPicPr>
                        </pic:nvPicPr>
                        <pic:blipFill>
                          <a:blip r:embed="rId78" cstate="print"/>
                          <a:srcRect/>
                          <a:stretch>
                            <a:fillRect/>
                          </a:stretch>
                        </pic:blipFill>
                        <pic:spPr>
                          <a:xfrm>
                            <a:off x="0" y="0"/>
                            <a:ext cx="802005" cy="112395"/>
                          </a:xfrm>
                          <a:prstGeom prst="rect">
                            <a:avLst/>
                          </a:prstGeom>
                          <a:noFill/>
                          <a:ln w="9525">
                            <a:noFill/>
                            <a:miter lim="800000"/>
                            <a:headEnd/>
                            <a:tailEnd/>
                          </a:ln>
                        </pic:spPr>
                      </pic:pic>
                    </a:graphicData>
                  </a:graphic>
                </wp:inline>
              </w:drawing>
            </w:r>
            <w:r>
              <w:drawing>
                <wp:inline distT="0" distB="0" distL="0" distR="0">
                  <wp:extent cx="551815" cy="112395"/>
                  <wp:effectExtent l="19050" t="0" r="635" b="0"/>
                  <wp:docPr id="90"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90"/>
                          <pic:cNvPicPr>
                            <a:picLocks noChangeAspect="1" noChangeArrowheads="1"/>
                          </pic:cNvPicPr>
                        </pic:nvPicPr>
                        <pic:blipFill>
                          <a:blip r:embed="rId79" cstate="print"/>
                          <a:srcRect/>
                          <a:stretch>
                            <a:fillRect/>
                          </a:stretch>
                        </pic:blipFill>
                        <pic:spPr>
                          <a:xfrm>
                            <a:off x="0" y="0"/>
                            <a:ext cx="551815" cy="112395"/>
                          </a:xfrm>
                          <a:prstGeom prst="rect">
                            <a:avLst/>
                          </a:prstGeom>
                          <a:noFill/>
                          <a:ln w="9525">
                            <a:noFill/>
                            <a:miter lim="800000"/>
                            <a:headEnd/>
                            <a:tailEnd/>
                          </a:ln>
                        </pic:spPr>
                      </pic:pic>
                    </a:graphicData>
                  </a:graphic>
                </wp:inline>
              </w:drawing>
            </w:r>
            <w:r>
              <w:t>59.56%</w:t>
            </w:r>
          </w:p>
        </w:tc>
      </w:tr>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F9F9F9"/>
            <w:vAlign w:val="center"/>
          </w:tcPr>
          <w:p>
            <w:r>
              <w:t>比较重视</w:t>
            </w:r>
          </w:p>
        </w:tc>
        <w:tc>
          <w:tcPr>
            <w:tcW w:w="0" w:type="auto"/>
            <w:shd w:val="clear" w:color="auto" w:fill="F9F9F9"/>
            <w:vAlign w:val="center"/>
          </w:tcPr>
          <w:p>
            <w:pPr>
              <w:jc w:val="center"/>
            </w:pPr>
            <w:r>
              <w:t>49</w:t>
            </w:r>
          </w:p>
        </w:tc>
        <w:tc>
          <w:tcPr>
            <w:tcW w:w="0" w:type="auto"/>
            <w:shd w:val="clear" w:color="auto" w:fill="F9F9F9"/>
            <w:vAlign w:val="center"/>
          </w:tcPr>
          <w:p>
            <w:r>
              <w:drawing>
                <wp:inline distT="0" distB="0" distL="0" distR="0">
                  <wp:extent cx="483235" cy="112395"/>
                  <wp:effectExtent l="19050" t="0" r="0" b="0"/>
                  <wp:docPr id="91"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91"/>
                          <pic:cNvPicPr>
                            <a:picLocks noChangeAspect="1" noChangeArrowheads="1"/>
                          </pic:cNvPicPr>
                        </pic:nvPicPr>
                        <pic:blipFill>
                          <a:blip r:embed="rId80" cstate="print"/>
                          <a:srcRect/>
                          <a:stretch>
                            <a:fillRect/>
                          </a:stretch>
                        </pic:blipFill>
                        <pic:spPr>
                          <a:xfrm>
                            <a:off x="0" y="0"/>
                            <a:ext cx="483235" cy="112395"/>
                          </a:xfrm>
                          <a:prstGeom prst="rect">
                            <a:avLst/>
                          </a:prstGeom>
                          <a:noFill/>
                          <a:ln w="9525">
                            <a:noFill/>
                            <a:miter lim="800000"/>
                            <a:headEnd/>
                            <a:tailEnd/>
                          </a:ln>
                        </pic:spPr>
                      </pic:pic>
                    </a:graphicData>
                  </a:graphic>
                </wp:inline>
              </w:drawing>
            </w:r>
            <w:r>
              <w:drawing>
                <wp:inline distT="0" distB="0" distL="0" distR="0">
                  <wp:extent cx="862330" cy="112395"/>
                  <wp:effectExtent l="19050" t="0" r="0" b="0"/>
                  <wp:docPr id="92"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92"/>
                          <pic:cNvPicPr>
                            <a:picLocks noChangeAspect="1" noChangeArrowheads="1"/>
                          </pic:cNvPicPr>
                        </pic:nvPicPr>
                        <pic:blipFill>
                          <a:blip r:embed="rId81" cstate="print"/>
                          <a:srcRect/>
                          <a:stretch>
                            <a:fillRect/>
                          </a:stretch>
                        </pic:blipFill>
                        <pic:spPr>
                          <a:xfrm>
                            <a:off x="0" y="0"/>
                            <a:ext cx="862330" cy="112395"/>
                          </a:xfrm>
                          <a:prstGeom prst="rect">
                            <a:avLst/>
                          </a:prstGeom>
                          <a:noFill/>
                          <a:ln w="9525">
                            <a:noFill/>
                            <a:miter lim="800000"/>
                            <a:headEnd/>
                            <a:tailEnd/>
                          </a:ln>
                        </pic:spPr>
                      </pic:pic>
                    </a:graphicData>
                  </a:graphic>
                </wp:inline>
              </w:drawing>
            </w:r>
            <w:r>
              <w:t>36.03%</w:t>
            </w:r>
          </w:p>
        </w:tc>
      </w:tr>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FFFFFF"/>
            <w:vAlign w:val="center"/>
          </w:tcPr>
          <w:p>
            <w:r>
              <w:t>不太重视</w:t>
            </w:r>
          </w:p>
        </w:tc>
        <w:tc>
          <w:tcPr>
            <w:tcW w:w="0" w:type="auto"/>
            <w:shd w:val="clear" w:color="auto" w:fill="FFFFFF"/>
            <w:vAlign w:val="center"/>
          </w:tcPr>
          <w:p>
            <w:pPr>
              <w:jc w:val="center"/>
            </w:pPr>
            <w:r>
              <w:t>6</w:t>
            </w:r>
          </w:p>
        </w:tc>
        <w:tc>
          <w:tcPr>
            <w:tcW w:w="0" w:type="auto"/>
            <w:shd w:val="clear" w:color="auto" w:fill="FFFFFF"/>
            <w:vAlign w:val="center"/>
          </w:tcPr>
          <w:p>
            <w:r>
              <w:drawing>
                <wp:inline distT="0" distB="0" distL="0" distR="0">
                  <wp:extent cx="60325" cy="112395"/>
                  <wp:effectExtent l="19050" t="0" r="0" b="0"/>
                  <wp:docPr id="93"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93"/>
                          <pic:cNvPicPr>
                            <a:picLocks noChangeAspect="1" noChangeArrowheads="1"/>
                          </pic:cNvPicPr>
                        </pic:nvPicPr>
                        <pic:blipFill>
                          <a:blip r:embed="rId16" cstate="print"/>
                          <a:srcRect/>
                          <a:stretch>
                            <a:fillRect/>
                          </a:stretch>
                        </pic:blipFill>
                        <pic:spPr>
                          <a:xfrm>
                            <a:off x="0" y="0"/>
                            <a:ext cx="60325" cy="112395"/>
                          </a:xfrm>
                          <a:prstGeom prst="rect">
                            <a:avLst/>
                          </a:prstGeom>
                          <a:noFill/>
                          <a:ln w="9525">
                            <a:noFill/>
                            <a:miter lim="800000"/>
                            <a:headEnd/>
                            <a:tailEnd/>
                          </a:ln>
                        </pic:spPr>
                      </pic:pic>
                    </a:graphicData>
                  </a:graphic>
                </wp:inline>
              </w:drawing>
            </w:r>
            <w:r>
              <w:drawing>
                <wp:inline distT="0" distB="0" distL="0" distR="0">
                  <wp:extent cx="1294130" cy="112395"/>
                  <wp:effectExtent l="19050" t="0" r="1270" b="0"/>
                  <wp:docPr id="94"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94"/>
                          <pic:cNvPicPr>
                            <a:picLocks noChangeAspect="1" noChangeArrowheads="1"/>
                          </pic:cNvPicPr>
                        </pic:nvPicPr>
                        <pic:blipFill>
                          <a:blip r:embed="rId17" cstate="print"/>
                          <a:srcRect/>
                          <a:stretch>
                            <a:fillRect/>
                          </a:stretch>
                        </pic:blipFill>
                        <pic:spPr>
                          <a:xfrm>
                            <a:off x="0" y="0"/>
                            <a:ext cx="1294130" cy="112395"/>
                          </a:xfrm>
                          <a:prstGeom prst="rect">
                            <a:avLst/>
                          </a:prstGeom>
                          <a:noFill/>
                          <a:ln w="9525">
                            <a:noFill/>
                            <a:miter lim="800000"/>
                            <a:headEnd/>
                            <a:tailEnd/>
                          </a:ln>
                        </pic:spPr>
                      </pic:pic>
                    </a:graphicData>
                  </a:graphic>
                </wp:inline>
              </w:drawing>
            </w:r>
            <w:r>
              <w:t>4.41%</w:t>
            </w:r>
          </w:p>
        </w:tc>
      </w:tr>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F9F9F9"/>
            <w:vAlign w:val="center"/>
          </w:tcPr>
          <w:p>
            <w:r>
              <w:t>非常不重视</w:t>
            </w:r>
          </w:p>
        </w:tc>
        <w:tc>
          <w:tcPr>
            <w:tcW w:w="0" w:type="auto"/>
            <w:shd w:val="clear" w:color="auto" w:fill="F9F9F9"/>
            <w:vAlign w:val="center"/>
          </w:tcPr>
          <w:p>
            <w:pPr>
              <w:jc w:val="center"/>
            </w:pPr>
            <w:r>
              <w:t>0</w:t>
            </w:r>
          </w:p>
        </w:tc>
        <w:tc>
          <w:tcPr>
            <w:tcW w:w="0" w:type="auto"/>
            <w:shd w:val="clear" w:color="auto" w:fill="F9F9F9"/>
            <w:vAlign w:val="center"/>
          </w:tcPr>
          <w:p>
            <w:r>
              <w:drawing>
                <wp:inline distT="0" distB="0" distL="0" distR="0">
                  <wp:extent cx="1354455" cy="112395"/>
                  <wp:effectExtent l="19050" t="0" r="0" b="0"/>
                  <wp:docPr id="95"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95"/>
                          <pic:cNvPicPr>
                            <a:picLocks noChangeAspect="1" noChangeArrowheads="1"/>
                          </pic:cNvPicPr>
                        </pic:nvPicPr>
                        <pic:blipFill>
                          <a:blip r:embed="rId82" cstate="print"/>
                          <a:srcRect/>
                          <a:stretch>
                            <a:fillRect/>
                          </a:stretch>
                        </pic:blipFill>
                        <pic:spPr>
                          <a:xfrm>
                            <a:off x="0" y="0"/>
                            <a:ext cx="1354455" cy="112395"/>
                          </a:xfrm>
                          <a:prstGeom prst="rect">
                            <a:avLst/>
                          </a:prstGeom>
                          <a:noFill/>
                          <a:ln w="9525">
                            <a:noFill/>
                            <a:miter lim="800000"/>
                            <a:headEnd/>
                            <a:tailEnd/>
                          </a:ln>
                        </pic:spPr>
                      </pic:pic>
                    </a:graphicData>
                  </a:graphic>
                </wp:inline>
              </w:drawing>
            </w:r>
            <w:r>
              <w:t>0%</w:t>
            </w:r>
          </w:p>
        </w:tc>
      </w:tr>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E0E0E0"/>
            <w:vAlign w:val="center"/>
          </w:tcPr>
          <w:p>
            <w:r>
              <w:t>本题有效填写人次</w:t>
            </w:r>
          </w:p>
        </w:tc>
        <w:tc>
          <w:tcPr>
            <w:tcW w:w="0" w:type="auto"/>
            <w:shd w:val="clear" w:color="auto" w:fill="E0E0E0"/>
            <w:vAlign w:val="center"/>
          </w:tcPr>
          <w:p>
            <w:pPr>
              <w:jc w:val="center"/>
            </w:pPr>
            <w:r>
              <w:t>136</w:t>
            </w:r>
          </w:p>
        </w:tc>
        <w:tc>
          <w:tcPr>
            <w:tcW w:w="0" w:type="auto"/>
            <w:shd w:val="clear" w:color="auto" w:fill="E0E0E0"/>
            <w:vAlign w:val="center"/>
          </w:tcPr>
          <w:p/>
        </w:tc>
      </w:tr>
    </w:tbl>
    <w:p/>
    <w:p/>
    <w:p>
      <w:r>
        <w:rPr>
          <w:color w:val="000000"/>
          <w:sz w:val="24"/>
        </w:rPr>
        <w:t>第1</w:t>
      </w:r>
      <w:r>
        <w:rPr>
          <w:rFonts w:hint="eastAsia"/>
          <w:color w:val="000000"/>
          <w:sz w:val="24"/>
        </w:rPr>
        <w:t>0</w:t>
      </w:r>
      <w:r>
        <w:rPr>
          <w:color w:val="000000"/>
          <w:sz w:val="24"/>
        </w:rPr>
        <w:t xml:space="preserve">题   贵单位是否有专人负责标准化工作？    </w:t>
      </w:r>
    </w:p>
    <w:p>
      <w:pPr>
        <w:rPr>
          <w:color w:val="0066FF"/>
        </w:rPr>
      </w:pPr>
    </w:p>
    <w:tbl>
      <w:tblPr>
        <w:tblStyle w:val="12"/>
        <w:tblW w:w="5000" w:type="pct"/>
        <w:tblInd w:w="0" w:type="dxa"/>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Layout w:type="autofit"/>
        <w:tblCellMar>
          <w:top w:w="0" w:type="dxa"/>
          <w:left w:w="108" w:type="dxa"/>
          <w:bottom w:w="0" w:type="dxa"/>
          <w:right w:w="108" w:type="dxa"/>
        </w:tblCellMar>
      </w:tblPr>
      <w:tblGrid>
        <w:gridCol w:w="2877"/>
        <w:gridCol w:w="965"/>
        <w:gridCol w:w="4680"/>
      </w:tblGrid>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E0E0E0"/>
            <w:vAlign w:val="center"/>
          </w:tcPr>
          <w:p>
            <w:pPr>
              <w:jc w:val="center"/>
            </w:pPr>
            <w:r>
              <w:t>选项</w:t>
            </w:r>
          </w:p>
        </w:tc>
        <w:tc>
          <w:tcPr>
            <w:tcW w:w="0" w:type="auto"/>
            <w:shd w:val="clear" w:color="auto" w:fill="E0E0E0"/>
            <w:vAlign w:val="center"/>
          </w:tcPr>
          <w:p>
            <w:pPr>
              <w:jc w:val="center"/>
            </w:pPr>
            <w:r>
              <w:t>小计</w:t>
            </w:r>
          </w:p>
        </w:tc>
        <w:tc>
          <w:tcPr>
            <w:tcW w:w="0" w:type="auto"/>
            <w:shd w:val="clear" w:color="auto" w:fill="E0E0E0"/>
            <w:vAlign w:val="center"/>
          </w:tcPr>
          <w:p>
            <w:pPr>
              <w:jc w:val="center"/>
            </w:pPr>
            <w:r>
              <w:t>比例</w:t>
            </w:r>
          </w:p>
        </w:tc>
      </w:tr>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FFFFFF"/>
            <w:vAlign w:val="center"/>
          </w:tcPr>
          <w:p>
            <w:r>
              <w:t>是，请写明几人</w:t>
            </w:r>
          </w:p>
        </w:tc>
        <w:tc>
          <w:tcPr>
            <w:tcW w:w="0" w:type="auto"/>
            <w:shd w:val="clear" w:color="auto" w:fill="FFFFFF"/>
            <w:vAlign w:val="center"/>
          </w:tcPr>
          <w:p>
            <w:pPr>
              <w:jc w:val="center"/>
            </w:pPr>
            <w:r>
              <w:t>91</w:t>
            </w:r>
          </w:p>
        </w:tc>
        <w:tc>
          <w:tcPr>
            <w:tcW w:w="0" w:type="auto"/>
            <w:shd w:val="clear" w:color="auto" w:fill="FFFFFF"/>
            <w:vAlign w:val="center"/>
          </w:tcPr>
          <w:p>
            <w:r>
              <w:drawing>
                <wp:inline distT="0" distB="0" distL="0" distR="0">
                  <wp:extent cx="905510" cy="112395"/>
                  <wp:effectExtent l="19050" t="0" r="8890" b="0"/>
                  <wp:docPr id="96"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96"/>
                          <pic:cNvPicPr>
                            <a:picLocks noChangeAspect="1" noChangeArrowheads="1"/>
                          </pic:cNvPicPr>
                        </pic:nvPicPr>
                        <pic:blipFill>
                          <a:blip r:embed="rId83" cstate="print"/>
                          <a:srcRect/>
                          <a:stretch>
                            <a:fillRect/>
                          </a:stretch>
                        </pic:blipFill>
                        <pic:spPr>
                          <a:xfrm>
                            <a:off x="0" y="0"/>
                            <a:ext cx="905510" cy="112395"/>
                          </a:xfrm>
                          <a:prstGeom prst="rect">
                            <a:avLst/>
                          </a:prstGeom>
                          <a:noFill/>
                          <a:ln w="9525">
                            <a:noFill/>
                            <a:miter lim="800000"/>
                            <a:headEnd/>
                            <a:tailEnd/>
                          </a:ln>
                        </pic:spPr>
                      </pic:pic>
                    </a:graphicData>
                  </a:graphic>
                </wp:inline>
              </w:drawing>
            </w:r>
            <w:r>
              <w:drawing>
                <wp:inline distT="0" distB="0" distL="0" distR="0">
                  <wp:extent cx="448310" cy="112395"/>
                  <wp:effectExtent l="19050" t="0" r="8890" b="0"/>
                  <wp:docPr id="97"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97"/>
                          <pic:cNvPicPr>
                            <a:picLocks noChangeAspect="1" noChangeArrowheads="1"/>
                          </pic:cNvPicPr>
                        </pic:nvPicPr>
                        <pic:blipFill>
                          <a:blip r:embed="rId84" cstate="print"/>
                          <a:srcRect/>
                          <a:stretch>
                            <a:fillRect/>
                          </a:stretch>
                        </pic:blipFill>
                        <pic:spPr>
                          <a:xfrm>
                            <a:off x="0" y="0"/>
                            <a:ext cx="448310" cy="112395"/>
                          </a:xfrm>
                          <a:prstGeom prst="rect">
                            <a:avLst/>
                          </a:prstGeom>
                          <a:noFill/>
                          <a:ln w="9525">
                            <a:noFill/>
                            <a:miter lim="800000"/>
                            <a:headEnd/>
                            <a:tailEnd/>
                          </a:ln>
                        </pic:spPr>
                      </pic:pic>
                    </a:graphicData>
                  </a:graphic>
                </wp:inline>
              </w:drawing>
            </w:r>
            <w:r>
              <w:t>66.91%</w:t>
            </w:r>
          </w:p>
        </w:tc>
      </w:tr>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F9F9F9"/>
            <w:vAlign w:val="center"/>
          </w:tcPr>
          <w:p>
            <w:r>
              <w:t>否</w:t>
            </w:r>
          </w:p>
        </w:tc>
        <w:tc>
          <w:tcPr>
            <w:tcW w:w="0" w:type="auto"/>
            <w:shd w:val="clear" w:color="auto" w:fill="F9F9F9"/>
            <w:vAlign w:val="center"/>
          </w:tcPr>
          <w:p>
            <w:pPr>
              <w:jc w:val="center"/>
            </w:pPr>
            <w:r>
              <w:t>45</w:t>
            </w:r>
          </w:p>
        </w:tc>
        <w:tc>
          <w:tcPr>
            <w:tcW w:w="0" w:type="auto"/>
            <w:shd w:val="clear" w:color="auto" w:fill="F9F9F9"/>
            <w:vAlign w:val="center"/>
          </w:tcPr>
          <w:p>
            <w:r>
              <w:drawing>
                <wp:inline distT="0" distB="0" distL="0" distR="0">
                  <wp:extent cx="440055" cy="112395"/>
                  <wp:effectExtent l="19050" t="0" r="0" b="0"/>
                  <wp:docPr id="98"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8"/>
                          <pic:cNvPicPr>
                            <a:picLocks noChangeAspect="1" noChangeArrowheads="1"/>
                          </pic:cNvPicPr>
                        </pic:nvPicPr>
                        <pic:blipFill>
                          <a:blip r:embed="rId85" cstate="print"/>
                          <a:srcRect/>
                          <a:stretch>
                            <a:fillRect/>
                          </a:stretch>
                        </pic:blipFill>
                        <pic:spPr>
                          <a:xfrm>
                            <a:off x="0" y="0"/>
                            <a:ext cx="440055" cy="112395"/>
                          </a:xfrm>
                          <a:prstGeom prst="rect">
                            <a:avLst/>
                          </a:prstGeom>
                          <a:noFill/>
                          <a:ln w="9525">
                            <a:noFill/>
                            <a:miter lim="800000"/>
                            <a:headEnd/>
                            <a:tailEnd/>
                          </a:ln>
                        </pic:spPr>
                      </pic:pic>
                    </a:graphicData>
                  </a:graphic>
                </wp:inline>
              </w:drawing>
            </w:r>
            <w:r>
              <w:drawing>
                <wp:inline distT="0" distB="0" distL="0" distR="0">
                  <wp:extent cx="914400" cy="112395"/>
                  <wp:effectExtent l="19050" t="0" r="0" b="0"/>
                  <wp:docPr id="99"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9"/>
                          <pic:cNvPicPr>
                            <a:picLocks noChangeAspect="1" noChangeArrowheads="1"/>
                          </pic:cNvPicPr>
                        </pic:nvPicPr>
                        <pic:blipFill>
                          <a:blip r:embed="rId86" cstate="print"/>
                          <a:srcRect/>
                          <a:stretch>
                            <a:fillRect/>
                          </a:stretch>
                        </pic:blipFill>
                        <pic:spPr>
                          <a:xfrm>
                            <a:off x="0" y="0"/>
                            <a:ext cx="914400" cy="112395"/>
                          </a:xfrm>
                          <a:prstGeom prst="rect">
                            <a:avLst/>
                          </a:prstGeom>
                          <a:noFill/>
                          <a:ln w="9525">
                            <a:noFill/>
                            <a:miter lim="800000"/>
                            <a:headEnd/>
                            <a:tailEnd/>
                          </a:ln>
                        </pic:spPr>
                      </pic:pic>
                    </a:graphicData>
                  </a:graphic>
                </wp:inline>
              </w:drawing>
            </w:r>
            <w:r>
              <w:t>33.09%</w:t>
            </w:r>
          </w:p>
        </w:tc>
      </w:tr>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E0E0E0"/>
            <w:vAlign w:val="center"/>
          </w:tcPr>
          <w:p>
            <w:r>
              <w:t>本题有效填写人次</w:t>
            </w:r>
          </w:p>
        </w:tc>
        <w:tc>
          <w:tcPr>
            <w:tcW w:w="0" w:type="auto"/>
            <w:shd w:val="clear" w:color="auto" w:fill="E0E0E0"/>
            <w:vAlign w:val="center"/>
          </w:tcPr>
          <w:p>
            <w:pPr>
              <w:jc w:val="center"/>
            </w:pPr>
            <w:r>
              <w:t>136</w:t>
            </w:r>
          </w:p>
        </w:tc>
        <w:tc>
          <w:tcPr>
            <w:tcW w:w="0" w:type="auto"/>
            <w:shd w:val="clear" w:color="auto" w:fill="E0E0E0"/>
            <w:vAlign w:val="center"/>
          </w:tcPr>
          <w:p/>
        </w:tc>
      </w:tr>
    </w:tbl>
    <w:p/>
    <w:p/>
    <w:p>
      <w:r>
        <w:rPr>
          <w:color w:val="000000"/>
          <w:sz w:val="24"/>
        </w:rPr>
        <w:t>第1</w:t>
      </w:r>
      <w:r>
        <w:rPr>
          <w:rFonts w:hint="eastAsia"/>
          <w:color w:val="000000"/>
          <w:sz w:val="24"/>
        </w:rPr>
        <w:t>1</w:t>
      </w:r>
      <w:r>
        <w:rPr>
          <w:color w:val="000000"/>
          <w:sz w:val="24"/>
        </w:rPr>
        <w:t xml:space="preserve">题   是否有意向参与科技创新服务相关标准的制修订？   </w:t>
      </w:r>
    </w:p>
    <w:p>
      <w:pPr>
        <w:rPr>
          <w:color w:val="0066FF"/>
        </w:rPr>
      </w:pPr>
    </w:p>
    <w:tbl>
      <w:tblPr>
        <w:tblStyle w:val="12"/>
        <w:tblW w:w="5000" w:type="pct"/>
        <w:tblInd w:w="0" w:type="dxa"/>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Layout w:type="autofit"/>
        <w:tblCellMar>
          <w:top w:w="0" w:type="dxa"/>
          <w:left w:w="108" w:type="dxa"/>
          <w:bottom w:w="0" w:type="dxa"/>
          <w:right w:w="108" w:type="dxa"/>
        </w:tblCellMar>
      </w:tblPr>
      <w:tblGrid>
        <w:gridCol w:w="2890"/>
        <w:gridCol w:w="970"/>
        <w:gridCol w:w="4662"/>
      </w:tblGrid>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E0E0E0"/>
            <w:vAlign w:val="center"/>
          </w:tcPr>
          <w:p>
            <w:pPr>
              <w:jc w:val="center"/>
            </w:pPr>
            <w:r>
              <w:t>选项</w:t>
            </w:r>
          </w:p>
        </w:tc>
        <w:tc>
          <w:tcPr>
            <w:tcW w:w="0" w:type="auto"/>
            <w:shd w:val="clear" w:color="auto" w:fill="E0E0E0"/>
            <w:vAlign w:val="center"/>
          </w:tcPr>
          <w:p>
            <w:pPr>
              <w:jc w:val="center"/>
            </w:pPr>
            <w:r>
              <w:t>小计</w:t>
            </w:r>
          </w:p>
        </w:tc>
        <w:tc>
          <w:tcPr>
            <w:tcW w:w="0" w:type="auto"/>
            <w:shd w:val="clear" w:color="auto" w:fill="E0E0E0"/>
            <w:vAlign w:val="center"/>
          </w:tcPr>
          <w:p>
            <w:pPr>
              <w:jc w:val="center"/>
            </w:pPr>
            <w:r>
              <w:t>比例</w:t>
            </w:r>
          </w:p>
        </w:tc>
      </w:tr>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FFFFFF"/>
            <w:vAlign w:val="center"/>
          </w:tcPr>
          <w:p>
            <w:r>
              <w:t>非常愿意</w:t>
            </w:r>
          </w:p>
        </w:tc>
        <w:tc>
          <w:tcPr>
            <w:tcW w:w="0" w:type="auto"/>
            <w:shd w:val="clear" w:color="auto" w:fill="FFFFFF"/>
            <w:vAlign w:val="center"/>
          </w:tcPr>
          <w:p>
            <w:pPr>
              <w:jc w:val="center"/>
            </w:pPr>
            <w:r>
              <w:t>71</w:t>
            </w:r>
          </w:p>
        </w:tc>
        <w:tc>
          <w:tcPr>
            <w:tcW w:w="0" w:type="auto"/>
            <w:shd w:val="clear" w:color="auto" w:fill="FFFFFF"/>
            <w:vAlign w:val="center"/>
          </w:tcPr>
          <w:p>
            <w:r>
              <w:drawing>
                <wp:inline distT="0" distB="0" distL="0" distR="0">
                  <wp:extent cx="707390" cy="112395"/>
                  <wp:effectExtent l="19050" t="0" r="0" b="0"/>
                  <wp:docPr id="100"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100"/>
                          <pic:cNvPicPr>
                            <a:picLocks noChangeAspect="1" noChangeArrowheads="1"/>
                          </pic:cNvPicPr>
                        </pic:nvPicPr>
                        <pic:blipFill>
                          <a:blip r:embed="rId87" cstate="print"/>
                          <a:srcRect/>
                          <a:stretch>
                            <a:fillRect/>
                          </a:stretch>
                        </pic:blipFill>
                        <pic:spPr>
                          <a:xfrm>
                            <a:off x="0" y="0"/>
                            <a:ext cx="707390" cy="112395"/>
                          </a:xfrm>
                          <a:prstGeom prst="rect">
                            <a:avLst/>
                          </a:prstGeom>
                          <a:noFill/>
                          <a:ln w="9525">
                            <a:noFill/>
                            <a:miter lim="800000"/>
                            <a:headEnd/>
                            <a:tailEnd/>
                          </a:ln>
                        </pic:spPr>
                      </pic:pic>
                    </a:graphicData>
                  </a:graphic>
                </wp:inline>
              </w:drawing>
            </w:r>
            <w:r>
              <w:drawing>
                <wp:inline distT="0" distB="0" distL="0" distR="0">
                  <wp:extent cx="647065" cy="112395"/>
                  <wp:effectExtent l="19050" t="0" r="635" b="0"/>
                  <wp:docPr id="101"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101"/>
                          <pic:cNvPicPr>
                            <a:picLocks noChangeAspect="1" noChangeArrowheads="1"/>
                          </pic:cNvPicPr>
                        </pic:nvPicPr>
                        <pic:blipFill>
                          <a:blip r:embed="rId88" cstate="print"/>
                          <a:srcRect/>
                          <a:stretch>
                            <a:fillRect/>
                          </a:stretch>
                        </pic:blipFill>
                        <pic:spPr>
                          <a:xfrm>
                            <a:off x="0" y="0"/>
                            <a:ext cx="647065" cy="112395"/>
                          </a:xfrm>
                          <a:prstGeom prst="rect">
                            <a:avLst/>
                          </a:prstGeom>
                          <a:noFill/>
                          <a:ln w="9525">
                            <a:noFill/>
                            <a:miter lim="800000"/>
                            <a:headEnd/>
                            <a:tailEnd/>
                          </a:ln>
                        </pic:spPr>
                      </pic:pic>
                    </a:graphicData>
                  </a:graphic>
                </wp:inline>
              </w:drawing>
            </w:r>
            <w:r>
              <w:t>52.21%</w:t>
            </w:r>
          </w:p>
        </w:tc>
      </w:tr>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F9F9F9"/>
            <w:vAlign w:val="center"/>
          </w:tcPr>
          <w:p>
            <w:r>
              <w:t>愿意参与</w:t>
            </w:r>
          </w:p>
        </w:tc>
        <w:tc>
          <w:tcPr>
            <w:tcW w:w="0" w:type="auto"/>
            <w:shd w:val="clear" w:color="auto" w:fill="F9F9F9"/>
            <w:vAlign w:val="center"/>
          </w:tcPr>
          <w:p>
            <w:pPr>
              <w:jc w:val="center"/>
            </w:pPr>
            <w:r>
              <w:t>60</w:t>
            </w:r>
          </w:p>
        </w:tc>
        <w:tc>
          <w:tcPr>
            <w:tcW w:w="0" w:type="auto"/>
            <w:shd w:val="clear" w:color="auto" w:fill="F9F9F9"/>
            <w:vAlign w:val="center"/>
          </w:tcPr>
          <w:p>
            <w:r>
              <w:drawing>
                <wp:inline distT="0" distB="0" distL="0" distR="0">
                  <wp:extent cx="586740" cy="112395"/>
                  <wp:effectExtent l="19050" t="0" r="3810" b="0"/>
                  <wp:docPr id="102"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02"/>
                          <pic:cNvPicPr>
                            <a:picLocks noChangeAspect="1" noChangeArrowheads="1"/>
                          </pic:cNvPicPr>
                        </pic:nvPicPr>
                        <pic:blipFill>
                          <a:blip r:embed="rId89" cstate="print"/>
                          <a:srcRect/>
                          <a:stretch>
                            <a:fillRect/>
                          </a:stretch>
                        </pic:blipFill>
                        <pic:spPr>
                          <a:xfrm>
                            <a:off x="0" y="0"/>
                            <a:ext cx="586740" cy="112395"/>
                          </a:xfrm>
                          <a:prstGeom prst="rect">
                            <a:avLst/>
                          </a:prstGeom>
                          <a:noFill/>
                          <a:ln w="9525">
                            <a:noFill/>
                            <a:miter lim="800000"/>
                            <a:headEnd/>
                            <a:tailEnd/>
                          </a:ln>
                        </pic:spPr>
                      </pic:pic>
                    </a:graphicData>
                  </a:graphic>
                </wp:inline>
              </w:drawing>
            </w:r>
            <w:r>
              <w:drawing>
                <wp:inline distT="0" distB="0" distL="0" distR="0">
                  <wp:extent cx="758825" cy="112395"/>
                  <wp:effectExtent l="19050" t="0" r="3175" b="0"/>
                  <wp:docPr id="103"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03"/>
                          <pic:cNvPicPr>
                            <a:picLocks noChangeAspect="1" noChangeArrowheads="1"/>
                          </pic:cNvPicPr>
                        </pic:nvPicPr>
                        <pic:blipFill>
                          <a:blip r:embed="rId90" cstate="print"/>
                          <a:srcRect/>
                          <a:stretch>
                            <a:fillRect/>
                          </a:stretch>
                        </pic:blipFill>
                        <pic:spPr>
                          <a:xfrm>
                            <a:off x="0" y="0"/>
                            <a:ext cx="758825" cy="112395"/>
                          </a:xfrm>
                          <a:prstGeom prst="rect">
                            <a:avLst/>
                          </a:prstGeom>
                          <a:noFill/>
                          <a:ln w="9525">
                            <a:noFill/>
                            <a:miter lim="800000"/>
                            <a:headEnd/>
                            <a:tailEnd/>
                          </a:ln>
                        </pic:spPr>
                      </pic:pic>
                    </a:graphicData>
                  </a:graphic>
                </wp:inline>
              </w:drawing>
            </w:r>
            <w:r>
              <w:t>44.12%</w:t>
            </w:r>
          </w:p>
        </w:tc>
      </w:tr>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FFFFFF"/>
            <w:vAlign w:val="center"/>
          </w:tcPr>
          <w:p>
            <w:r>
              <w:t>不愿意参与</w:t>
            </w:r>
          </w:p>
        </w:tc>
        <w:tc>
          <w:tcPr>
            <w:tcW w:w="0" w:type="auto"/>
            <w:shd w:val="clear" w:color="auto" w:fill="FFFFFF"/>
            <w:vAlign w:val="center"/>
          </w:tcPr>
          <w:p>
            <w:pPr>
              <w:jc w:val="center"/>
            </w:pPr>
            <w:r>
              <w:t>5</w:t>
            </w:r>
          </w:p>
        </w:tc>
        <w:tc>
          <w:tcPr>
            <w:tcW w:w="0" w:type="auto"/>
            <w:shd w:val="clear" w:color="auto" w:fill="FFFFFF"/>
            <w:vAlign w:val="center"/>
          </w:tcPr>
          <w:p>
            <w:r>
              <w:drawing>
                <wp:inline distT="0" distB="0" distL="0" distR="0">
                  <wp:extent cx="43180" cy="112395"/>
                  <wp:effectExtent l="19050" t="0" r="0" b="0"/>
                  <wp:docPr id="104"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04"/>
                          <pic:cNvPicPr>
                            <a:picLocks noChangeAspect="1" noChangeArrowheads="1"/>
                          </pic:cNvPicPr>
                        </pic:nvPicPr>
                        <pic:blipFill>
                          <a:blip r:embed="rId38" cstate="print"/>
                          <a:srcRect/>
                          <a:stretch>
                            <a:fillRect/>
                          </a:stretch>
                        </pic:blipFill>
                        <pic:spPr>
                          <a:xfrm>
                            <a:off x="0" y="0"/>
                            <a:ext cx="43180" cy="112395"/>
                          </a:xfrm>
                          <a:prstGeom prst="rect">
                            <a:avLst/>
                          </a:prstGeom>
                          <a:noFill/>
                          <a:ln w="9525">
                            <a:noFill/>
                            <a:miter lim="800000"/>
                            <a:headEnd/>
                            <a:tailEnd/>
                          </a:ln>
                        </pic:spPr>
                      </pic:pic>
                    </a:graphicData>
                  </a:graphic>
                </wp:inline>
              </w:drawing>
            </w:r>
            <w:r>
              <w:drawing>
                <wp:inline distT="0" distB="0" distL="0" distR="0">
                  <wp:extent cx="1302385" cy="112395"/>
                  <wp:effectExtent l="19050" t="0" r="0" b="0"/>
                  <wp:docPr id="105"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5"/>
                          <pic:cNvPicPr>
                            <a:picLocks noChangeAspect="1" noChangeArrowheads="1"/>
                          </pic:cNvPicPr>
                        </pic:nvPicPr>
                        <pic:blipFill>
                          <a:blip r:embed="rId39" cstate="print"/>
                          <a:srcRect/>
                          <a:stretch>
                            <a:fillRect/>
                          </a:stretch>
                        </pic:blipFill>
                        <pic:spPr>
                          <a:xfrm>
                            <a:off x="0" y="0"/>
                            <a:ext cx="1302385" cy="112395"/>
                          </a:xfrm>
                          <a:prstGeom prst="rect">
                            <a:avLst/>
                          </a:prstGeom>
                          <a:noFill/>
                          <a:ln w="9525">
                            <a:noFill/>
                            <a:miter lim="800000"/>
                            <a:headEnd/>
                            <a:tailEnd/>
                          </a:ln>
                        </pic:spPr>
                      </pic:pic>
                    </a:graphicData>
                  </a:graphic>
                </wp:inline>
              </w:drawing>
            </w:r>
            <w:r>
              <w:t>3.68%</w:t>
            </w:r>
          </w:p>
        </w:tc>
      </w:tr>
      <w:tr>
        <w:tblPrEx>
          <w:tblBorders>
            <w:top w:val="single" w:color="D7D7D7" w:sz="4" w:space="0"/>
            <w:left w:val="single" w:color="D7D7D7" w:sz="4" w:space="0"/>
            <w:bottom w:val="single" w:color="D7D7D7" w:sz="4" w:space="0"/>
            <w:right w:val="single" w:color="D7D7D7" w:sz="4" w:space="0"/>
            <w:insideH w:val="single" w:color="D7D7D7" w:sz="4" w:space="0"/>
            <w:insideV w:val="single" w:color="D7D7D7" w:sz="4" w:space="0"/>
          </w:tblBorders>
          <w:tblCellMar>
            <w:top w:w="0" w:type="dxa"/>
            <w:left w:w="108" w:type="dxa"/>
            <w:bottom w:w="0" w:type="dxa"/>
            <w:right w:w="108" w:type="dxa"/>
          </w:tblCellMar>
        </w:tblPrEx>
        <w:trPr>
          <w:trHeight w:val="500" w:hRule="atLeast"/>
        </w:trPr>
        <w:tc>
          <w:tcPr>
            <w:tcW w:w="0" w:type="auto"/>
            <w:shd w:val="clear" w:color="auto" w:fill="E0E0E0"/>
            <w:vAlign w:val="center"/>
          </w:tcPr>
          <w:p>
            <w:r>
              <w:t>本题有效填写人次</w:t>
            </w:r>
          </w:p>
        </w:tc>
        <w:tc>
          <w:tcPr>
            <w:tcW w:w="0" w:type="auto"/>
            <w:shd w:val="clear" w:color="auto" w:fill="E0E0E0"/>
            <w:vAlign w:val="center"/>
          </w:tcPr>
          <w:p>
            <w:pPr>
              <w:jc w:val="center"/>
            </w:pPr>
            <w:r>
              <w:t>136</w:t>
            </w:r>
          </w:p>
        </w:tc>
        <w:tc>
          <w:tcPr>
            <w:tcW w:w="0" w:type="auto"/>
            <w:shd w:val="clear" w:color="auto" w:fill="E0E0E0"/>
            <w:vAlign w:val="center"/>
          </w:tcPr>
          <w:p/>
        </w:tc>
      </w:tr>
    </w:tbl>
    <w:p/>
    <w:p/>
    <w:p/>
    <w:p>
      <w:pPr>
        <w:spacing w:line="360" w:lineRule="auto"/>
        <w:rPr>
          <w:rFonts w:ascii="仿宋" w:hAnsi="仿宋" w:eastAsia="仿宋" w:cs="宋体"/>
          <w:kern w:val="0"/>
          <w:sz w:val="32"/>
          <w:szCs w:val="32"/>
        </w:rPr>
      </w:pPr>
    </w:p>
    <w:sectPr>
      <w:pgSz w:w="11906" w:h="16838"/>
      <w:pgMar w:top="1440" w:right="1800" w:bottom="1440" w:left="1800" w:header="851" w:footer="992" w:gutter="0"/>
      <w:cols w:space="425" w:num="1"/>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 w:name="方正小标宋简体">
    <w:panose1 w:val="02010601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B53FE6"/>
    <w:multiLevelType w:val="singleLevel"/>
    <w:tmpl w:val="86B53FE6"/>
    <w:lvl w:ilvl="0" w:tentative="0">
      <w:start w:val="5"/>
      <w:numFmt w:val="decimal"/>
      <w:lvlText w:val="%1."/>
      <w:lvlJc w:val="left"/>
      <w:pPr>
        <w:tabs>
          <w:tab w:val="left" w:pos="312"/>
        </w:tabs>
      </w:pPr>
    </w:lvl>
  </w:abstractNum>
  <w:abstractNum w:abstractNumId="1">
    <w:nsid w:val="13346AE4"/>
    <w:multiLevelType w:val="multilevel"/>
    <w:tmpl w:val="13346AE4"/>
    <w:lvl w:ilvl="0" w:tentative="0">
      <w:start w:val="1"/>
      <w:numFmt w:val="decimal"/>
      <w:lvlText w:val="%1."/>
      <w:lvlJc w:val="left"/>
      <w:pPr>
        <w:tabs>
          <w:tab w:val="left" w:pos="720"/>
        </w:tabs>
        <w:ind w:left="720" w:hanging="720"/>
      </w:pPr>
    </w:lvl>
    <w:lvl w:ilvl="1" w:tentative="0">
      <w:start w:val="1"/>
      <w:numFmt w:val="decimal"/>
      <w:pStyle w:val="60"/>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2">
    <w:nsid w:val="1FC91163"/>
    <w:multiLevelType w:val="multilevel"/>
    <w:tmpl w:val="1FC91163"/>
    <w:lvl w:ilvl="0" w:tentative="0">
      <w:start w:val="1"/>
      <w:numFmt w:val="decimal"/>
      <w:pStyle w:val="49"/>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8"/>
      <w:suff w:val="nothing"/>
      <w:lvlText w:val="%1.%2　"/>
      <w:lvlJc w:val="left"/>
      <w:rPr>
        <w:rFonts w:hint="eastAsia" w:ascii="黑体" w:hAnsi="Times New Roman" w:eastAsia="黑体" w:cs="Times New Roman"/>
        <w:b w:val="0"/>
        <w:bCs w:val="0"/>
        <w:i w:val="0"/>
        <w:iCs w:val="0"/>
        <w:caps w:val="0"/>
        <w:strike w:val="0"/>
        <w:dstrike w:val="0"/>
        <w:vanish w:val="0"/>
        <w:color w:val="auto"/>
        <w:spacing w:val="0"/>
        <w:kern w:val="0"/>
        <w:position w:val="0"/>
        <w:sz w:val="21"/>
        <w:szCs w:val="21"/>
        <w:u w:val="none"/>
        <w:vertAlign w:val="baseline"/>
      </w:rPr>
    </w:lvl>
    <w:lvl w:ilvl="2" w:tentative="0">
      <w:start w:val="1"/>
      <w:numFmt w:val="decimal"/>
      <w:pStyle w:val="50"/>
      <w:suff w:val="nothing"/>
      <w:lvlText w:val="%1.%2.%3　"/>
      <w:lvlJc w:val="left"/>
      <w:pPr>
        <w:ind w:left="0" w:firstLine="0"/>
      </w:pPr>
      <w:rPr>
        <w:rFonts w:hint="eastAsia" w:ascii="黑体" w:hAnsi="Times New Roman" w:eastAsia="黑体"/>
        <w:b w:val="0"/>
        <w:i w:val="0"/>
        <w:sz w:val="21"/>
      </w:rPr>
    </w:lvl>
    <w:lvl w:ilvl="3" w:tentative="0">
      <w:start w:val="1"/>
      <w:numFmt w:val="decimal"/>
      <w:pStyle w:val="51"/>
      <w:suff w:val="nothing"/>
      <w:lvlText w:val="%1.%2.%3.%4　"/>
      <w:lvlJc w:val="left"/>
      <w:pPr>
        <w:ind w:left="0" w:firstLine="0"/>
      </w:pPr>
      <w:rPr>
        <w:rFonts w:hint="eastAsia" w:ascii="黑体" w:hAnsi="Times New Roman" w:eastAsia="黑体"/>
        <w:b w:val="0"/>
        <w:i w:val="0"/>
        <w:sz w:val="21"/>
      </w:rPr>
    </w:lvl>
    <w:lvl w:ilvl="4" w:tentative="0">
      <w:start w:val="1"/>
      <w:numFmt w:val="decimal"/>
      <w:pStyle w:val="52"/>
      <w:suff w:val="nothing"/>
      <w:lvlText w:val="%1.%2.%3.%4.%5　"/>
      <w:lvlJc w:val="left"/>
      <w:pPr>
        <w:ind w:left="0" w:firstLine="0"/>
      </w:pPr>
      <w:rPr>
        <w:rFonts w:hint="eastAsia" w:ascii="黑体" w:hAnsi="Times New Roman" w:eastAsia="黑体"/>
        <w:b w:val="0"/>
        <w:i w:val="0"/>
        <w:sz w:val="21"/>
      </w:rPr>
    </w:lvl>
    <w:lvl w:ilvl="5" w:tentative="0">
      <w:start w:val="1"/>
      <w:numFmt w:val="decimal"/>
      <w:pStyle w:val="53"/>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
    <w:nsid w:val="44C50F90"/>
    <w:multiLevelType w:val="multilevel"/>
    <w:tmpl w:val="44C50F90"/>
    <w:lvl w:ilvl="0" w:tentative="0">
      <w:start w:val="1"/>
      <w:numFmt w:val="lowerLetter"/>
      <w:pStyle w:val="46"/>
      <w:lvlText w:val="%1)"/>
      <w:lvlJc w:val="left"/>
      <w:pPr>
        <w:tabs>
          <w:tab w:val="left" w:pos="839"/>
        </w:tabs>
        <w:ind w:left="839" w:hanging="419"/>
      </w:pPr>
      <w:rPr>
        <w:rFonts w:hint="eastAsia" w:ascii="宋体" w:hAnsi="宋体" w:eastAsia="宋体"/>
        <w:b w:val="0"/>
        <w:i w:val="0"/>
        <w:sz w:val="20"/>
        <w:szCs w:val="21"/>
      </w:rPr>
    </w:lvl>
    <w:lvl w:ilvl="1" w:tentative="0">
      <w:start w:val="1"/>
      <w:numFmt w:val="decimal"/>
      <w:pStyle w:val="45"/>
      <w:lvlText w:val="%2)"/>
      <w:lvlJc w:val="left"/>
      <w:pPr>
        <w:tabs>
          <w:tab w:val="left" w:pos="1259"/>
        </w:tabs>
        <w:ind w:left="1259" w:hanging="420"/>
      </w:pPr>
      <w:rPr>
        <w:rFonts w:hint="eastAsia" w:ascii="宋体" w:hAnsi="宋体" w:eastAsia="宋体"/>
        <w:b w:val="0"/>
        <w:i w:val="0"/>
        <w:sz w:val="20"/>
      </w:rPr>
    </w:lvl>
    <w:lvl w:ilvl="2" w:tentative="0">
      <w:start w:val="1"/>
      <w:numFmt w:val="decimal"/>
      <w:pStyle w:val="47"/>
      <w:lvlText w:val="(%3)"/>
      <w:lvlJc w:val="left"/>
      <w:pPr>
        <w:tabs>
          <w:tab w:val="left" w:pos="0"/>
        </w:tabs>
        <w:ind w:left="1678" w:hanging="419"/>
      </w:pPr>
      <w:rPr>
        <w:rFonts w:hint="eastAsia" w:ascii="宋体" w:hAnsi="宋体" w:eastAsia="宋体"/>
        <w:b w:val="0"/>
        <w:i w:val="0"/>
        <w:sz w:val="20"/>
        <w:szCs w:val="21"/>
      </w:rPr>
    </w:lvl>
    <w:lvl w:ilvl="3" w:tentative="0">
      <w:start w:val="1"/>
      <w:numFmt w:val="decimal"/>
      <w:lvlText w:val="%4."/>
      <w:lvlJc w:val="left"/>
      <w:pPr>
        <w:tabs>
          <w:tab w:val="left" w:pos="2098"/>
        </w:tabs>
        <w:ind w:left="2098" w:hanging="420"/>
      </w:pPr>
      <w:rPr>
        <w:rFonts w:hint="eastAsia"/>
      </w:rPr>
    </w:lvl>
    <w:lvl w:ilvl="4" w:tentative="0">
      <w:start w:val="1"/>
      <w:numFmt w:val="lowerLetter"/>
      <w:lvlText w:val="%5)"/>
      <w:lvlJc w:val="left"/>
      <w:pPr>
        <w:tabs>
          <w:tab w:val="left" w:pos="2517"/>
        </w:tabs>
        <w:ind w:left="2517" w:hanging="419"/>
      </w:pPr>
      <w:rPr>
        <w:rFonts w:hint="eastAsia"/>
      </w:rPr>
    </w:lvl>
    <w:lvl w:ilvl="5" w:tentative="0">
      <w:start w:val="1"/>
      <w:numFmt w:val="lowerRoman"/>
      <w:lvlText w:val="%6."/>
      <w:lvlJc w:val="right"/>
      <w:pPr>
        <w:tabs>
          <w:tab w:val="left" w:pos="2942"/>
        </w:tabs>
        <w:ind w:left="2937" w:hanging="420"/>
      </w:pPr>
      <w:rPr>
        <w:rFonts w:hint="eastAsia"/>
      </w:rPr>
    </w:lvl>
    <w:lvl w:ilvl="6" w:tentative="0">
      <w:start w:val="1"/>
      <w:numFmt w:val="decimal"/>
      <w:lvlText w:val="%7."/>
      <w:lvlJc w:val="left"/>
      <w:pPr>
        <w:tabs>
          <w:tab w:val="left" w:pos="3362"/>
        </w:tabs>
        <w:ind w:left="3356" w:hanging="414"/>
      </w:pPr>
      <w:rPr>
        <w:rFonts w:hint="eastAsia"/>
      </w:rPr>
    </w:lvl>
    <w:lvl w:ilvl="7" w:tentative="0">
      <w:start w:val="1"/>
      <w:numFmt w:val="lowerLetter"/>
      <w:lvlText w:val="%8)"/>
      <w:lvlJc w:val="left"/>
      <w:pPr>
        <w:tabs>
          <w:tab w:val="left" w:pos="3781"/>
        </w:tabs>
        <w:ind w:left="3776" w:hanging="414"/>
      </w:pPr>
      <w:rPr>
        <w:rFonts w:hint="eastAsia"/>
      </w:rPr>
    </w:lvl>
    <w:lvl w:ilvl="8" w:tentative="0">
      <w:start w:val="1"/>
      <w:numFmt w:val="lowerRoman"/>
      <w:lvlText w:val="%9."/>
      <w:lvlJc w:val="right"/>
      <w:pPr>
        <w:tabs>
          <w:tab w:val="left" w:pos="4201"/>
        </w:tabs>
        <w:ind w:left="4201" w:hanging="420"/>
      </w:pPr>
      <w:rPr>
        <w:rFonts w:hint="eastAsia"/>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Tc4ZTE5NzI5NWVhZDk0MjFhMzdkMmYwMWYwMGRjY2QifQ=="/>
    <w:docVar w:name="KSO_WPS_MARK_KEY" w:val="33059e96-15b4-4ea1-8bf3-57065a94f860"/>
  </w:docVars>
  <w:rsids>
    <w:rsidRoot w:val="00E70D1E"/>
    <w:rsid w:val="000026F0"/>
    <w:rsid w:val="00004668"/>
    <w:rsid w:val="00006A78"/>
    <w:rsid w:val="00011C8D"/>
    <w:rsid w:val="00012986"/>
    <w:rsid w:val="00014109"/>
    <w:rsid w:val="000147DD"/>
    <w:rsid w:val="00020583"/>
    <w:rsid w:val="000243EA"/>
    <w:rsid w:val="00026EE1"/>
    <w:rsid w:val="00031AA5"/>
    <w:rsid w:val="00032978"/>
    <w:rsid w:val="00042BE8"/>
    <w:rsid w:val="0004673E"/>
    <w:rsid w:val="00047082"/>
    <w:rsid w:val="0005127D"/>
    <w:rsid w:val="00051B12"/>
    <w:rsid w:val="00052D43"/>
    <w:rsid w:val="0006008B"/>
    <w:rsid w:val="00061962"/>
    <w:rsid w:val="00061EA2"/>
    <w:rsid w:val="00062270"/>
    <w:rsid w:val="00072723"/>
    <w:rsid w:val="00082E98"/>
    <w:rsid w:val="00082F54"/>
    <w:rsid w:val="00083ACC"/>
    <w:rsid w:val="00085518"/>
    <w:rsid w:val="00091182"/>
    <w:rsid w:val="00091269"/>
    <w:rsid w:val="00091618"/>
    <w:rsid w:val="00093E0E"/>
    <w:rsid w:val="000A18F4"/>
    <w:rsid w:val="000B307C"/>
    <w:rsid w:val="000B47F4"/>
    <w:rsid w:val="000B4991"/>
    <w:rsid w:val="000C23F2"/>
    <w:rsid w:val="000C2796"/>
    <w:rsid w:val="000C41AC"/>
    <w:rsid w:val="000D19A9"/>
    <w:rsid w:val="000D20FC"/>
    <w:rsid w:val="000D7036"/>
    <w:rsid w:val="000E0BE7"/>
    <w:rsid w:val="000E1A05"/>
    <w:rsid w:val="000E3B62"/>
    <w:rsid w:val="000E4262"/>
    <w:rsid w:val="000E54A0"/>
    <w:rsid w:val="000F012A"/>
    <w:rsid w:val="000F0D41"/>
    <w:rsid w:val="000F0EF1"/>
    <w:rsid w:val="000F1B24"/>
    <w:rsid w:val="00101383"/>
    <w:rsid w:val="00101595"/>
    <w:rsid w:val="001017CF"/>
    <w:rsid w:val="00102765"/>
    <w:rsid w:val="0011130C"/>
    <w:rsid w:val="001130A1"/>
    <w:rsid w:val="00115B00"/>
    <w:rsid w:val="00117542"/>
    <w:rsid w:val="00124064"/>
    <w:rsid w:val="001241CA"/>
    <w:rsid w:val="001247C1"/>
    <w:rsid w:val="00125E85"/>
    <w:rsid w:val="00130861"/>
    <w:rsid w:val="00130E72"/>
    <w:rsid w:val="00133176"/>
    <w:rsid w:val="00141ACD"/>
    <w:rsid w:val="00143D80"/>
    <w:rsid w:val="00145F70"/>
    <w:rsid w:val="00146D87"/>
    <w:rsid w:val="0015166B"/>
    <w:rsid w:val="00153528"/>
    <w:rsid w:val="00157918"/>
    <w:rsid w:val="00160E5B"/>
    <w:rsid w:val="00161EAE"/>
    <w:rsid w:val="00161EC9"/>
    <w:rsid w:val="001649E6"/>
    <w:rsid w:val="00165242"/>
    <w:rsid w:val="00173C52"/>
    <w:rsid w:val="0018080E"/>
    <w:rsid w:val="00187981"/>
    <w:rsid w:val="00191E46"/>
    <w:rsid w:val="00194C22"/>
    <w:rsid w:val="00197492"/>
    <w:rsid w:val="00197BF6"/>
    <w:rsid w:val="001A4B87"/>
    <w:rsid w:val="001A4F14"/>
    <w:rsid w:val="001A581C"/>
    <w:rsid w:val="001A7F40"/>
    <w:rsid w:val="001B181C"/>
    <w:rsid w:val="001B30E6"/>
    <w:rsid w:val="001B79F5"/>
    <w:rsid w:val="001C1EF4"/>
    <w:rsid w:val="001C2BAB"/>
    <w:rsid w:val="001C4163"/>
    <w:rsid w:val="001D3204"/>
    <w:rsid w:val="001D3A73"/>
    <w:rsid w:val="001E0603"/>
    <w:rsid w:val="001E1847"/>
    <w:rsid w:val="001E235E"/>
    <w:rsid w:val="001E2BE0"/>
    <w:rsid w:val="001E55EF"/>
    <w:rsid w:val="001E57BA"/>
    <w:rsid w:val="001E6960"/>
    <w:rsid w:val="001E752D"/>
    <w:rsid w:val="001E7C6C"/>
    <w:rsid w:val="001F01C1"/>
    <w:rsid w:val="001F15B9"/>
    <w:rsid w:val="001F15EE"/>
    <w:rsid w:val="001F30D2"/>
    <w:rsid w:val="001F4F63"/>
    <w:rsid w:val="00206D2C"/>
    <w:rsid w:val="00207FAB"/>
    <w:rsid w:val="00211D1D"/>
    <w:rsid w:val="00214910"/>
    <w:rsid w:val="00214EB2"/>
    <w:rsid w:val="00224891"/>
    <w:rsid w:val="0022604F"/>
    <w:rsid w:val="0023105D"/>
    <w:rsid w:val="002310E4"/>
    <w:rsid w:val="002310EF"/>
    <w:rsid w:val="00233027"/>
    <w:rsid w:val="00233725"/>
    <w:rsid w:val="0023502A"/>
    <w:rsid w:val="00236689"/>
    <w:rsid w:val="002426CF"/>
    <w:rsid w:val="002503E4"/>
    <w:rsid w:val="00250C06"/>
    <w:rsid w:val="0025100F"/>
    <w:rsid w:val="002518B2"/>
    <w:rsid w:val="00252796"/>
    <w:rsid w:val="002534EA"/>
    <w:rsid w:val="0025725B"/>
    <w:rsid w:val="00264F98"/>
    <w:rsid w:val="002761D9"/>
    <w:rsid w:val="00277165"/>
    <w:rsid w:val="00284DCA"/>
    <w:rsid w:val="00285F07"/>
    <w:rsid w:val="0029040E"/>
    <w:rsid w:val="00290920"/>
    <w:rsid w:val="002927F3"/>
    <w:rsid w:val="00295196"/>
    <w:rsid w:val="00296806"/>
    <w:rsid w:val="002971CE"/>
    <w:rsid w:val="002A11E8"/>
    <w:rsid w:val="002A4C3F"/>
    <w:rsid w:val="002A690A"/>
    <w:rsid w:val="002A6F05"/>
    <w:rsid w:val="002B1362"/>
    <w:rsid w:val="002C164B"/>
    <w:rsid w:val="002C2F9F"/>
    <w:rsid w:val="002C3C42"/>
    <w:rsid w:val="002C483B"/>
    <w:rsid w:val="002C66A4"/>
    <w:rsid w:val="002D51DF"/>
    <w:rsid w:val="002D67AF"/>
    <w:rsid w:val="002E3B00"/>
    <w:rsid w:val="002E4B23"/>
    <w:rsid w:val="002F4011"/>
    <w:rsid w:val="00302B4F"/>
    <w:rsid w:val="0030387B"/>
    <w:rsid w:val="00305914"/>
    <w:rsid w:val="003158C5"/>
    <w:rsid w:val="0032488D"/>
    <w:rsid w:val="0032593A"/>
    <w:rsid w:val="00327F4B"/>
    <w:rsid w:val="00330152"/>
    <w:rsid w:val="00330B5C"/>
    <w:rsid w:val="00334183"/>
    <w:rsid w:val="00341024"/>
    <w:rsid w:val="00342EAD"/>
    <w:rsid w:val="00342FA6"/>
    <w:rsid w:val="00345C32"/>
    <w:rsid w:val="00350C18"/>
    <w:rsid w:val="00351C8B"/>
    <w:rsid w:val="00354095"/>
    <w:rsid w:val="00360267"/>
    <w:rsid w:val="003616CB"/>
    <w:rsid w:val="003626C5"/>
    <w:rsid w:val="00366FC8"/>
    <w:rsid w:val="00370433"/>
    <w:rsid w:val="00373A13"/>
    <w:rsid w:val="00373BDA"/>
    <w:rsid w:val="00374124"/>
    <w:rsid w:val="00376324"/>
    <w:rsid w:val="003765BC"/>
    <w:rsid w:val="00376A49"/>
    <w:rsid w:val="0038626C"/>
    <w:rsid w:val="0038776F"/>
    <w:rsid w:val="00391283"/>
    <w:rsid w:val="00397CDB"/>
    <w:rsid w:val="003A4ABE"/>
    <w:rsid w:val="003A4CF1"/>
    <w:rsid w:val="003A6B43"/>
    <w:rsid w:val="003A796C"/>
    <w:rsid w:val="003B0402"/>
    <w:rsid w:val="003B1EAE"/>
    <w:rsid w:val="003B6A4B"/>
    <w:rsid w:val="003B6E0E"/>
    <w:rsid w:val="003C14C4"/>
    <w:rsid w:val="003C5FDF"/>
    <w:rsid w:val="003D3F00"/>
    <w:rsid w:val="003D590B"/>
    <w:rsid w:val="003D770D"/>
    <w:rsid w:val="003E2AF7"/>
    <w:rsid w:val="003E339C"/>
    <w:rsid w:val="003E3406"/>
    <w:rsid w:val="003F24A9"/>
    <w:rsid w:val="003F5DE3"/>
    <w:rsid w:val="003F67AD"/>
    <w:rsid w:val="0040333F"/>
    <w:rsid w:val="004048AD"/>
    <w:rsid w:val="00406BB7"/>
    <w:rsid w:val="00420005"/>
    <w:rsid w:val="00423164"/>
    <w:rsid w:val="004260A5"/>
    <w:rsid w:val="004277C0"/>
    <w:rsid w:val="00430C40"/>
    <w:rsid w:val="0043290D"/>
    <w:rsid w:val="00433A7A"/>
    <w:rsid w:val="00433B2B"/>
    <w:rsid w:val="00435350"/>
    <w:rsid w:val="0043674D"/>
    <w:rsid w:val="00441B08"/>
    <w:rsid w:val="004450D7"/>
    <w:rsid w:val="00450AC6"/>
    <w:rsid w:val="004523F3"/>
    <w:rsid w:val="00457DC9"/>
    <w:rsid w:val="004618AA"/>
    <w:rsid w:val="00466E79"/>
    <w:rsid w:val="00470A99"/>
    <w:rsid w:val="00474240"/>
    <w:rsid w:val="00475D6E"/>
    <w:rsid w:val="00477D06"/>
    <w:rsid w:val="004854E1"/>
    <w:rsid w:val="00485AD1"/>
    <w:rsid w:val="00491F7D"/>
    <w:rsid w:val="00492495"/>
    <w:rsid w:val="004928CE"/>
    <w:rsid w:val="004A2BA4"/>
    <w:rsid w:val="004A6DBC"/>
    <w:rsid w:val="004A6EF8"/>
    <w:rsid w:val="004B34C5"/>
    <w:rsid w:val="004B3AA4"/>
    <w:rsid w:val="004B6A3D"/>
    <w:rsid w:val="004B6EC3"/>
    <w:rsid w:val="004B74FC"/>
    <w:rsid w:val="004C0189"/>
    <w:rsid w:val="004C0347"/>
    <w:rsid w:val="004C4B8D"/>
    <w:rsid w:val="004C4D69"/>
    <w:rsid w:val="004C5229"/>
    <w:rsid w:val="004D0CC2"/>
    <w:rsid w:val="004D0F35"/>
    <w:rsid w:val="004D3181"/>
    <w:rsid w:val="004D54DE"/>
    <w:rsid w:val="004D5F9E"/>
    <w:rsid w:val="004E125B"/>
    <w:rsid w:val="004E17F9"/>
    <w:rsid w:val="004E45D1"/>
    <w:rsid w:val="004E765B"/>
    <w:rsid w:val="00500AAB"/>
    <w:rsid w:val="00501A34"/>
    <w:rsid w:val="00502B16"/>
    <w:rsid w:val="005040EA"/>
    <w:rsid w:val="0050756E"/>
    <w:rsid w:val="0051073B"/>
    <w:rsid w:val="00511443"/>
    <w:rsid w:val="005137CF"/>
    <w:rsid w:val="005146E9"/>
    <w:rsid w:val="0051604C"/>
    <w:rsid w:val="00526A2C"/>
    <w:rsid w:val="00533A90"/>
    <w:rsid w:val="00533DFB"/>
    <w:rsid w:val="005441B8"/>
    <w:rsid w:val="00550445"/>
    <w:rsid w:val="00551B64"/>
    <w:rsid w:val="00557795"/>
    <w:rsid w:val="005634DB"/>
    <w:rsid w:val="00563C59"/>
    <w:rsid w:val="00564C68"/>
    <w:rsid w:val="005652CF"/>
    <w:rsid w:val="00565E5E"/>
    <w:rsid w:val="00570BA2"/>
    <w:rsid w:val="00570BE7"/>
    <w:rsid w:val="00570FC0"/>
    <w:rsid w:val="00575809"/>
    <w:rsid w:val="00576584"/>
    <w:rsid w:val="00576F83"/>
    <w:rsid w:val="00581122"/>
    <w:rsid w:val="00582256"/>
    <w:rsid w:val="00582950"/>
    <w:rsid w:val="00584537"/>
    <w:rsid w:val="00587028"/>
    <w:rsid w:val="005910AA"/>
    <w:rsid w:val="0059168E"/>
    <w:rsid w:val="00592083"/>
    <w:rsid w:val="005926AC"/>
    <w:rsid w:val="00593E97"/>
    <w:rsid w:val="005A11DB"/>
    <w:rsid w:val="005A5363"/>
    <w:rsid w:val="005A6638"/>
    <w:rsid w:val="005A738A"/>
    <w:rsid w:val="005B0CBF"/>
    <w:rsid w:val="005B16FD"/>
    <w:rsid w:val="005B2100"/>
    <w:rsid w:val="005B4B95"/>
    <w:rsid w:val="005B63A4"/>
    <w:rsid w:val="005B6A1B"/>
    <w:rsid w:val="005C175C"/>
    <w:rsid w:val="005C323F"/>
    <w:rsid w:val="005D0AE9"/>
    <w:rsid w:val="005E2888"/>
    <w:rsid w:val="005E504E"/>
    <w:rsid w:val="005E74C7"/>
    <w:rsid w:val="005F01CB"/>
    <w:rsid w:val="005F28BF"/>
    <w:rsid w:val="005F2B46"/>
    <w:rsid w:val="00601DA6"/>
    <w:rsid w:val="0060342C"/>
    <w:rsid w:val="00607FE4"/>
    <w:rsid w:val="00610DF9"/>
    <w:rsid w:val="00614D17"/>
    <w:rsid w:val="00617442"/>
    <w:rsid w:val="00620FCE"/>
    <w:rsid w:val="00622293"/>
    <w:rsid w:val="00624C42"/>
    <w:rsid w:val="006252A3"/>
    <w:rsid w:val="006267A8"/>
    <w:rsid w:val="00627057"/>
    <w:rsid w:val="00632EB7"/>
    <w:rsid w:val="00641C14"/>
    <w:rsid w:val="00642A84"/>
    <w:rsid w:val="00642E14"/>
    <w:rsid w:val="00644B3C"/>
    <w:rsid w:val="006464A1"/>
    <w:rsid w:val="006506AC"/>
    <w:rsid w:val="00650B89"/>
    <w:rsid w:val="00660B03"/>
    <w:rsid w:val="00661C4A"/>
    <w:rsid w:val="00661FB7"/>
    <w:rsid w:val="00663BF2"/>
    <w:rsid w:val="0066703D"/>
    <w:rsid w:val="00667EB4"/>
    <w:rsid w:val="00670056"/>
    <w:rsid w:val="0067097B"/>
    <w:rsid w:val="00671EC4"/>
    <w:rsid w:val="0067300A"/>
    <w:rsid w:val="006745AA"/>
    <w:rsid w:val="00674AA7"/>
    <w:rsid w:val="00675B0E"/>
    <w:rsid w:val="00675B46"/>
    <w:rsid w:val="00680585"/>
    <w:rsid w:val="00681006"/>
    <w:rsid w:val="00687F72"/>
    <w:rsid w:val="00695DE1"/>
    <w:rsid w:val="006A12FF"/>
    <w:rsid w:val="006A1873"/>
    <w:rsid w:val="006A2A12"/>
    <w:rsid w:val="006A4B98"/>
    <w:rsid w:val="006A4CC9"/>
    <w:rsid w:val="006A5F82"/>
    <w:rsid w:val="006A6B37"/>
    <w:rsid w:val="006A774C"/>
    <w:rsid w:val="006B329C"/>
    <w:rsid w:val="006C1CA4"/>
    <w:rsid w:val="006C292D"/>
    <w:rsid w:val="006C329A"/>
    <w:rsid w:val="006C5C84"/>
    <w:rsid w:val="006C701B"/>
    <w:rsid w:val="006D4D27"/>
    <w:rsid w:val="006D51F1"/>
    <w:rsid w:val="006D7007"/>
    <w:rsid w:val="006D7678"/>
    <w:rsid w:val="006D7B97"/>
    <w:rsid w:val="006E1539"/>
    <w:rsid w:val="006E1C80"/>
    <w:rsid w:val="006E371B"/>
    <w:rsid w:val="006E3740"/>
    <w:rsid w:val="006F04E5"/>
    <w:rsid w:val="006F279A"/>
    <w:rsid w:val="006F3D13"/>
    <w:rsid w:val="006F733C"/>
    <w:rsid w:val="00703F59"/>
    <w:rsid w:val="007041FA"/>
    <w:rsid w:val="007117B7"/>
    <w:rsid w:val="00712E53"/>
    <w:rsid w:val="00714DB4"/>
    <w:rsid w:val="007150CA"/>
    <w:rsid w:val="00721A35"/>
    <w:rsid w:val="0072288C"/>
    <w:rsid w:val="00723001"/>
    <w:rsid w:val="00723EB0"/>
    <w:rsid w:val="007265AF"/>
    <w:rsid w:val="007276CB"/>
    <w:rsid w:val="00734FF1"/>
    <w:rsid w:val="00735B0A"/>
    <w:rsid w:val="00737F37"/>
    <w:rsid w:val="007407C7"/>
    <w:rsid w:val="007420DE"/>
    <w:rsid w:val="00745C66"/>
    <w:rsid w:val="00746084"/>
    <w:rsid w:val="007469E0"/>
    <w:rsid w:val="00747E9F"/>
    <w:rsid w:val="00750997"/>
    <w:rsid w:val="00751744"/>
    <w:rsid w:val="00752A33"/>
    <w:rsid w:val="00754958"/>
    <w:rsid w:val="007563BA"/>
    <w:rsid w:val="0076160C"/>
    <w:rsid w:val="00764D18"/>
    <w:rsid w:val="00774A7C"/>
    <w:rsid w:val="00775169"/>
    <w:rsid w:val="00775BF6"/>
    <w:rsid w:val="00783891"/>
    <w:rsid w:val="0078441A"/>
    <w:rsid w:val="00787CDB"/>
    <w:rsid w:val="0079238B"/>
    <w:rsid w:val="007967FE"/>
    <w:rsid w:val="00797212"/>
    <w:rsid w:val="007A0772"/>
    <w:rsid w:val="007A4300"/>
    <w:rsid w:val="007B46A1"/>
    <w:rsid w:val="007B5A19"/>
    <w:rsid w:val="007B78AA"/>
    <w:rsid w:val="007D081F"/>
    <w:rsid w:val="007D4D32"/>
    <w:rsid w:val="007E3B83"/>
    <w:rsid w:val="007E4893"/>
    <w:rsid w:val="007F2A14"/>
    <w:rsid w:val="007F4B81"/>
    <w:rsid w:val="00800A0C"/>
    <w:rsid w:val="0080257B"/>
    <w:rsid w:val="008037A2"/>
    <w:rsid w:val="008047F7"/>
    <w:rsid w:val="0080591D"/>
    <w:rsid w:val="008102B9"/>
    <w:rsid w:val="008119D8"/>
    <w:rsid w:val="00820F50"/>
    <w:rsid w:val="0082372D"/>
    <w:rsid w:val="00823A00"/>
    <w:rsid w:val="008306F0"/>
    <w:rsid w:val="00832C8B"/>
    <w:rsid w:val="00836356"/>
    <w:rsid w:val="00836795"/>
    <w:rsid w:val="008408C9"/>
    <w:rsid w:val="0084150F"/>
    <w:rsid w:val="00842BD0"/>
    <w:rsid w:val="00843023"/>
    <w:rsid w:val="00850146"/>
    <w:rsid w:val="00850B3C"/>
    <w:rsid w:val="00850F0F"/>
    <w:rsid w:val="00851CAE"/>
    <w:rsid w:val="00853662"/>
    <w:rsid w:val="00853B00"/>
    <w:rsid w:val="00854507"/>
    <w:rsid w:val="0085552D"/>
    <w:rsid w:val="00855861"/>
    <w:rsid w:val="008576EA"/>
    <w:rsid w:val="008578FC"/>
    <w:rsid w:val="00861BF9"/>
    <w:rsid w:val="00861FEE"/>
    <w:rsid w:val="00867118"/>
    <w:rsid w:val="00870D8C"/>
    <w:rsid w:val="008762AA"/>
    <w:rsid w:val="00881A14"/>
    <w:rsid w:val="0088276E"/>
    <w:rsid w:val="00890B1A"/>
    <w:rsid w:val="00893B8B"/>
    <w:rsid w:val="00896AE2"/>
    <w:rsid w:val="008978DA"/>
    <w:rsid w:val="008A45ED"/>
    <w:rsid w:val="008A46C1"/>
    <w:rsid w:val="008A6114"/>
    <w:rsid w:val="008B0853"/>
    <w:rsid w:val="008B0911"/>
    <w:rsid w:val="008B46F1"/>
    <w:rsid w:val="008B50D9"/>
    <w:rsid w:val="008B5DD3"/>
    <w:rsid w:val="008C09BF"/>
    <w:rsid w:val="008C68A4"/>
    <w:rsid w:val="008C7B25"/>
    <w:rsid w:val="008D1EA6"/>
    <w:rsid w:val="008D2361"/>
    <w:rsid w:val="008D7173"/>
    <w:rsid w:val="008D74A0"/>
    <w:rsid w:val="008D7D88"/>
    <w:rsid w:val="008E29C6"/>
    <w:rsid w:val="008E2D41"/>
    <w:rsid w:val="008E38E9"/>
    <w:rsid w:val="008E72E2"/>
    <w:rsid w:val="008F1B79"/>
    <w:rsid w:val="008F3088"/>
    <w:rsid w:val="008F5495"/>
    <w:rsid w:val="00900C5E"/>
    <w:rsid w:val="00900E3A"/>
    <w:rsid w:val="00901C6C"/>
    <w:rsid w:val="00901ECF"/>
    <w:rsid w:val="00902745"/>
    <w:rsid w:val="00906B11"/>
    <w:rsid w:val="0091034F"/>
    <w:rsid w:val="00914D68"/>
    <w:rsid w:val="00917C24"/>
    <w:rsid w:val="009331D4"/>
    <w:rsid w:val="0093479B"/>
    <w:rsid w:val="00936724"/>
    <w:rsid w:val="009472B6"/>
    <w:rsid w:val="00950ED2"/>
    <w:rsid w:val="00962B16"/>
    <w:rsid w:val="00963725"/>
    <w:rsid w:val="0096473E"/>
    <w:rsid w:val="00966B7F"/>
    <w:rsid w:val="00967B53"/>
    <w:rsid w:val="009707D3"/>
    <w:rsid w:val="00971094"/>
    <w:rsid w:val="00971529"/>
    <w:rsid w:val="00972A00"/>
    <w:rsid w:val="00983F87"/>
    <w:rsid w:val="009864C8"/>
    <w:rsid w:val="00986B48"/>
    <w:rsid w:val="0099033C"/>
    <w:rsid w:val="009920ED"/>
    <w:rsid w:val="00994FD7"/>
    <w:rsid w:val="009A0604"/>
    <w:rsid w:val="009A0962"/>
    <w:rsid w:val="009A19EB"/>
    <w:rsid w:val="009A464E"/>
    <w:rsid w:val="009A5B02"/>
    <w:rsid w:val="009A6BFC"/>
    <w:rsid w:val="009A7662"/>
    <w:rsid w:val="009B1DEE"/>
    <w:rsid w:val="009B26C9"/>
    <w:rsid w:val="009B2DC1"/>
    <w:rsid w:val="009B3EED"/>
    <w:rsid w:val="009C3501"/>
    <w:rsid w:val="009C5DB5"/>
    <w:rsid w:val="009D2605"/>
    <w:rsid w:val="009E2C6F"/>
    <w:rsid w:val="009E2DE5"/>
    <w:rsid w:val="009F0C41"/>
    <w:rsid w:val="009F3C37"/>
    <w:rsid w:val="00A05B9F"/>
    <w:rsid w:val="00A05E40"/>
    <w:rsid w:val="00A13C05"/>
    <w:rsid w:val="00A14EE7"/>
    <w:rsid w:val="00A20D25"/>
    <w:rsid w:val="00A21A30"/>
    <w:rsid w:val="00A23A34"/>
    <w:rsid w:val="00A26EA8"/>
    <w:rsid w:val="00A31275"/>
    <w:rsid w:val="00A319FD"/>
    <w:rsid w:val="00A32E45"/>
    <w:rsid w:val="00A364BB"/>
    <w:rsid w:val="00A43B1D"/>
    <w:rsid w:val="00A472C9"/>
    <w:rsid w:val="00A53563"/>
    <w:rsid w:val="00A57647"/>
    <w:rsid w:val="00A6070F"/>
    <w:rsid w:val="00A624E4"/>
    <w:rsid w:val="00A62C1F"/>
    <w:rsid w:val="00A637F0"/>
    <w:rsid w:val="00A66595"/>
    <w:rsid w:val="00A72DCF"/>
    <w:rsid w:val="00A74A14"/>
    <w:rsid w:val="00A74C82"/>
    <w:rsid w:val="00A770E8"/>
    <w:rsid w:val="00A80252"/>
    <w:rsid w:val="00A868BA"/>
    <w:rsid w:val="00AA1512"/>
    <w:rsid w:val="00AA37A9"/>
    <w:rsid w:val="00AA65BF"/>
    <w:rsid w:val="00AA7104"/>
    <w:rsid w:val="00AB1E71"/>
    <w:rsid w:val="00AB2265"/>
    <w:rsid w:val="00AB4CAA"/>
    <w:rsid w:val="00AB5301"/>
    <w:rsid w:val="00AB6B50"/>
    <w:rsid w:val="00AB70D8"/>
    <w:rsid w:val="00AB7B0C"/>
    <w:rsid w:val="00AB7CD3"/>
    <w:rsid w:val="00AC034F"/>
    <w:rsid w:val="00AC341F"/>
    <w:rsid w:val="00AC6AB7"/>
    <w:rsid w:val="00AC6EF9"/>
    <w:rsid w:val="00AC7148"/>
    <w:rsid w:val="00AC761E"/>
    <w:rsid w:val="00AC7A20"/>
    <w:rsid w:val="00AD009F"/>
    <w:rsid w:val="00AD0E20"/>
    <w:rsid w:val="00AD1DFF"/>
    <w:rsid w:val="00AD1FE4"/>
    <w:rsid w:val="00AD21C8"/>
    <w:rsid w:val="00AD5B96"/>
    <w:rsid w:val="00AD7F15"/>
    <w:rsid w:val="00AE0337"/>
    <w:rsid w:val="00AE23E7"/>
    <w:rsid w:val="00AE75B9"/>
    <w:rsid w:val="00AF2A57"/>
    <w:rsid w:val="00AF4613"/>
    <w:rsid w:val="00B110AE"/>
    <w:rsid w:val="00B14018"/>
    <w:rsid w:val="00B1721E"/>
    <w:rsid w:val="00B172EA"/>
    <w:rsid w:val="00B1730E"/>
    <w:rsid w:val="00B24312"/>
    <w:rsid w:val="00B25FE8"/>
    <w:rsid w:val="00B26DD3"/>
    <w:rsid w:val="00B37E66"/>
    <w:rsid w:val="00B40B3C"/>
    <w:rsid w:val="00B41695"/>
    <w:rsid w:val="00B4280F"/>
    <w:rsid w:val="00B42BBC"/>
    <w:rsid w:val="00B42CAA"/>
    <w:rsid w:val="00B42D3B"/>
    <w:rsid w:val="00B440A8"/>
    <w:rsid w:val="00B46821"/>
    <w:rsid w:val="00B56E08"/>
    <w:rsid w:val="00B60FFF"/>
    <w:rsid w:val="00B669BA"/>
    <w:rsid w:val="00B73776"/>
    <w:rsid w:val="00B73780"/>
    <w:rsid w:val="00B74B4A"/>
    <w:rsid w:val="00B7576A"/>
    <w:rsid w:val="00B75FAF"/>
    <w:rsid w:val="00B76502"/>
    <w:rsid w:val="00B769D1"/>
    <w:rsid w:val="00B803E7"/>
    <w:rsid w:val="00B81BAF"/>
    <w:rsid w:val="00B82826"/>
    <w:rsid w:val="00B830E5"/>
    <w:rsid w:val="00B8409B"/>
    <w:rsid w:val="00B87BAD"/>
    <w:rsid w:val="00B92314"/>
    <w:rsid w:val="00B96280"/>
    <w:rsid w:val="00B96F1B"/>
    <w:rsid w:val="00B97C48"/>
    <w:rsid w:val="00B97F19"/>
    <w:rsid w:val="00BA05B9"/>
    <w:rsid w:val="00BA7BE9"/>
    <w:rsid w:val="00BB059B"/>
    <w:rsid w:val="00BB27C0"/>
    <w:rsid w:val="00BB4522"/>
    <w:rsid w:val="00BB5A31"/>
    <w:rsid w:val="00BB7818"/>
    <w:rsid w:val="00BC1E15"/>
    <w:rsid w:val="00BC7159"/>
    <w:rsid w:val="00BD142E"/>
    <w:rsid w:val="00BD1BED"/>
    <w:rsid w:val="00BD2C15"/>
    <w:rsid w:val="00BD3895"/>
    <w:rsid w:val="00BD426B"/>
    <w:rsid w:val="00BE6C2E"/>
    <w:rsid w:val="00BF63C8"/>
    <w:rsid w:val="00BF6407"/>
    <w:rsid w:val="00BF69B8"/>
    <w:rsid w:val="00C02803"/>
    <w:rsid w:val="00C0604C"/>
    <w:rsid w:val="00C07459"/>
    <w:rsid w:val="00C165F0"/>
    <w:rsid w:val="00C20BBB"/>
    <w:rsid w:val="00C303C1"/>
    <w:rsid w:val="00C34ECD"/>
    <w:rsid w:val="00C3612B"/>
    <w:rsid w:val="00C37C61"/>
    <w:rsid w:val="00C40628"/>
    <w:rsid w:val="00C41696"/>
    <w:rsid w:val="00C43BF3"/>
    <w:rsid w:val="00C468F3"/>
    <w:rsid w:val="00C46EED"/>
    <w:rsid w:val="00C60A2D"/>
    <w:rsid w:val="00C60EE5"/>
    <w:rsid w:val="00C65806"/>
    <w:rsid w:val="00C661C4"/>
    <w:rsid w:val="00C71481"/>
    <w:rsid w:val="00C75FF6"/>
    <w:rsid w:val="00C769DC"/>
    <w:rsid w:val="00C77DD9"/>
    <w:rsid w:val="00C77F0C"/>
    <w:rsid w:val="00C80009"/>
    <w:rsid w:val="00C80BEC"/>
    <w:rsid w:val="00C80D9C"/>
    <w:rsid w:val="00C831B0"/>
    <w:rsid w:val="00C83956"/>
    <w:rsid w:val="00C85055"/>
    <w:rsid w:val="00C85993"/>
    <w:rsid w:val="00C9005A"/>
    <w:rsid w:val="00C95E1E"/>
    <w:rsid w:val="00CA0566"/>
    <w:rsid w:val="00CA11CB"/>
    <w:rsid w:val="00CA17F0"/>
    <w:rsid w:val="00CA2696"/>
    <w:rsid w:val="00CA681A"/>
    <w:rsid w:val="00CA6DCD"/>
    <w:rsid w:val="00CA7305"/>
    <w:rsid w:val="00CA7BE9"/>
    <w:rsid w:val="00CB069E"/>
    <w:rsid w:val="00CB2264"/>
    <w:rsid w:val="00CB76C6"/>
    <w:rsid w:val="00CB771F"/>
    <w:rsid w:val="00CC0701"/>
    <w:rsid w:val="00CC1052"/>
    <w:rsid w:val="00CC1BEC"/>
    <w:rsid w:val="00CC1FE1"/>
    <w:rsid w:val="00CD3767"/>
    <w:rsid w:val="00CE52D1"/>
    <w:rsid w:val="00CE7097"/>
    <w:rsid w:val="00CF11B6"/>
    <w:rsid w:val="00CF57F1"/>
    <w:rsid w:val="00CF7341"/>
    <w:rsid w:val="00D0161D"/>
    <w:rsid w:val="00D02F98"/>
    <w:rsid w:val="00D03141"/>
    <w:rsid w:val="00D031E3"/>
    <w:rsid w:val="00D05048"/>
    <w:rsid w:val="00D13338"/>
    <w:rsid w:val="00D1569A"/>
    <w:rsid w:val="00D163A0"/>
    <w:rsid w:val="00D17107"/>
    <w:rsid w:val="00D25792"/>
    <w:rsid w:val="00D257EF"/>
    <w:rsid w:val="00D26E19"/>
    <w:rsid w:val="00D302DB"/>
    <w:rsid w:val="00D335F4"/>
    <w:rsid w:val="00D3740E"/>
    <w:rsid w:val="00D42589"/>
    <w:rsid w:val="00D44D2A"/>
    <w:rsid w:val="00D46AC4"/>
    <w:rsid w:val="00D51B8A"/>
    <w:rsid w:val="00D524CB"/>
    <w:rsid w:val="00D57AEC"/>
    <w:rsid w:val="00D57B75"/>
    <w:rsid w:val="00D57FF8"/>
    <w:rsid w:val="00D620FB"/>
    <w:rsid w:val="00D65122"/>
    <w:rsid w:val="00D701F0"/>
    <w:rsid w:val="00D73D42"/>
    <w:rsid w:val="00D743F5"/>
    <w:rsid w:val="00D77AC1"/>
    <w:rsid w:val="00D77BA8"/>
    <w:rsid w:val="00D813DD"/>
    <w:rsid w:val="00D82FF1"/>
    <w:rsid w:val="00D8346A"/>
    <w:rsid w:val="00D84B4E"/>
    <w:rsid w:val="00D8729D"/>
    <w:rsid w:val="00D90E0B"/>
    <w:rsid w:val="00D955AA"/>
    <w:rsid w:val="00D95ED5"/>
    <w:rsid w:val="00DA452A"/>
    <w:rsid w:val="00DA6B91"/>
    <w:rsid w:val="00DB10CC"/>
    <w:rsid w:val="00DB2C7A"/>
    <w:rsid w:val="00DB3249"/>
    <w:rsid w:val="00DB3E6C"/>
    <w:rsid w:val="00DB7B96"/>
    <w:rsid w:val="00DB7E60"/>
    <w:rsid w:val="00DC1451"/>
    <w:rsid w:val="00DC6975"/>
    <w:rsid w:val="00DC6F50"/>
    <w:rsid w:val="00DD435B"/>
    <w:rsid w:val="00DD7C4B"/>
    <w:rsid w:val="00DE1531"/>
    <w:rsid w:val="00DE3FCF"/>
    <w:rsid w:val="00DE4529"/>
    <w:rsid w:val="00DF1A7F"/>
    <w:rsid w:val="00DF4A64"/>
    <w:rsid w:val="00DF7652"/>
    <w:rsid w:val="00E011A1"/>
    <w:rsid w:val="00E0216B"/>
    <w:rsid w:val="00E02D47"/>
    <w:rsid w:val="00E11EC7"/>
    <w:rsid w:val="00E13173"/>
    <w:rsid w:val="00E16CF9"/>
    <w:rsid w:val="00E20DB3"/>
    <w:rsid w:val="00E219E1"/>
    <w:rsid w:val="00E23B8B"/>
    <w:rsid w:val="00E254EC"/>
    <w:rsid w:val="00E2780C"/>
    <w:rsid w:val="00E3301A"/>
    <w:rsid w:val="00E36CF1"/>
    <w:rsid w:val="00E406AD"/>
    <w:rsid w:val="00E418F6"/>
    <w:rsid w:val="00E445CD"/>
    <w:rsid w:val="00E45452"/>
    <w:rsid w:val="00E46D72"/>
    <w:rsid w:val="00E5015D"/>
    <w:rsid w:val="00E50AF7"/>
    <w:rsid w:val="00E514FE"/>
    <w:rsid w:val="00E524B4"/>
    <w:rsid w:val="00E52AE4"/>
    <w:rsid w:val="00E57894"/>
    <w:rsid w:val="00E57B83"/>
    <w:rsid w:val="00E62FCC"/>
    <w:rsid w:val="00E64B84"/>
    <w:rsid w:val="00E67B63"/>
    <w:rsid w:val="00E70D1E"/>
    <w:rsid w:val="00E74524"/>
    <w:rsid w:val="00E76AFF"/>
    <w:rsid w:val="00E81D96"/>
    <w:rsid w:val="00E87817"/>
    <w:rsid w:val="00E9327F"/>
    <w:rsid w:val="00E933C8"/>
    <w:rsid w:val="00E93CF1"/>
    <w:rsid w:val="00E96240"/>
    <w:rsid w:val="00E96AC8"/>
    <w:rsid w:val="00EA28C2"/>
    <w:rsid w:val="00EA2BA2"/>
    <w:rsid w:val="00EA3A48"/>
    <w:rsid w:val="00EA3FBD"/>
    <w:rsid w:val="00EA432D"/>
    <w:rsid w:val="00EB29DF"/>
    <w:rsid w:val="00EB3A56"/>
    <w:rsid w:val="00EB6234"/>
    <w:rsid w:val="00EC0A03"/>
    <w:rsid w:val="00EC45D9"/>
    <w:rsid w:val="00EC591F"/>
    <w:rsid w:val="00ED3650"/>
    <w:rsid w:val="00ED484A"/>
    <w:rsid w:val="00ED4D04"/>
    <w:rsid w:val="00ED5375"/>
    <w:rsid w:val="00EE0F26"/>
    <w:rsid w:val="00EE2857"/>
    <w:rsid w:val="00EE38C7"/>
    <w:rsid w:val="00EE7E2F"/>
    <w:rsid w:val="00EF32B0"/>
    <w:rsid w:val="00EF3AAE"/>
    <w:rsid w:val="00EF46DA"/>
    <w:rsid w:val="00EF6E8A"/>
    <w:rsid w:val="00F0149E"/>
    <w:rsid w:val="00F0446B"/>
    <w:rsid w:val="00F117D9"/>
    <w:rsid w:val="00F12B53"/>
    <w:rsid w:val="00F139D7"/>
    <w:rsid w:val="00F143E6"/>
    <w:rsid w:val="00F20DC2"/>
    <w:rsid w:val="00F219CA"/>
    <w:rsid w:val="00F27996"/>
    <w:rsid w:val="00F31180"/>
    <w:rsid w:val="00F4760E"/>
    <w:rsid w:val="00F53128"/>
    <w:rsid w:val="00F537A8"/>
    <w:rsid w:val="00F5589D"/>
    <w:rsid w:val="00F640F6"/>
    <w:rsid w:val="00F666C0"/>
    <w:rsid w:val="00F6713F"/>
    <w:rsid w:val="00F67683"/>
    <w:rsid w:val="00F70DF4"/>
    <w:rsid w:val="00F71374"/>
    <w:rsid w:val="00F717A0"/>
    <w:rsid w:val="00F81141"/>
    <w:rsid w:val="00F81ADE"/>
    <w:rsid w:val="00F849B6"/>
    <w:rsid w:val="00F85959"/>
    <w:rsid w:val="00F86C5E"/>
    <w:rsid w:val="00F94FE2"/>
    <w:rsid w:val="00F958B1"/>
    <w:rsid w:val="00F97234"/>
    <w:rsid w:val="00F976A6"/>
    <w:rsid w:val="00F97877"/>
    <w:rsid w:val="00FA18B7"/>
    <w:rsid w:val="00FA1BFB"/>
    <w:rsid w:val="00FA5B0F"/>
    <w:rsid w:val="00FA6BFD"/>
    <w:rsid w:val="00FA6CFC"/>
    <w:rsid w:val="00FA783A"/>
    <w:rsid w:val="00FA7BA7"/>
    <w:rsid w:val="00FB21B2"/>
    <w:rsid w:val="00FB2D53"/>
    <w:rsid w:val="00FB3EB7"/>
    <w:rsid w:val="00FB63F1"/>
    <w:rsid w:val="00FD6071"/>
    <w:rsid w:val="00FD724E"/>
    <w:rsid w:val="00FE5DEC"/>
    <w:rsid w:val="00FE7064"/>
    <w:rsid w:val="00FF4609"/>
    <w:rsid w:val="00FF51D1"/>
    <w:rsid w:val="00FF59D3"/>
    <w:rsid w:val="00FF650F"/>
    <w:rsid w:val="37441D93"/>
    <w:rsid w:val="4BEF999E"/>
    <w:rsid w:val="666E0CAB"/>
    <w:rsid w:val="77DA17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0"/>
    <w:qFormat/>
    <w:uiPriority w:val="0"/>
    <w:pPr>
      <w:keepNext/>
      <w:keepLines/>
      <w:spacing w:before="340" w:after="330" w:line="576" w:lineRule="auto"/>
      <w:outlineLvl w:val="0"/>
    </w:pPr>
    <w:rPr>
      <w:b/>
      <w:bCs/>
      <w:kern w:val="44"/>
      <w:sz w:val="44"/>
      <w:szCs w:val="44"/>
    </w:rPr>
  </w:style>
  <w:style w:type="paragraph" w:styleId="3">
    <w:name w:val="heading 3"/>
    <w:basedOn w:val="1"/>
    <w:next w:val="1"/>
    <w:link w:val="63"/>
    <w:qFormat/>
    <w:uiPriority w:val="0"/>
    <w:pPr>
      <w:keepNext/>
      <w:keepLines/>
      <w:spacing w:before="260" w:after="260" w:line="416" w:lineRule="auto"/>
      <w:outlineLvl w:val="2"/>
    </w:pPr>
    <w:rPr>
      <w:b/>
      <w:bCs/>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64"/>
    <w:qFormat/>
    <w:uiPriority w:val="0"/>
    <w:pPr>
      <w:jc w:val="left"/>
    </w:pPr>
  </w:style>
  <w:style w:type="paragraph" w:styleId="5">
    <w:name w:val="Date"/>
    <w:basedOn w:val="1"/>
    <w:next w:val="1"/>
    <w:qFormat/>
    <w:uiPriority w:val="0"/>
    <w:pPr>
      <w:ind w:left="100" w:leftChars="2500"/>
    </w:pPr>
  </w:style>
  <w:style w:type="paragraph" w:styleId="6">
    <w:name w:val="Body Text Indent 2"/>
    <w:basedOn w:val="1"/>
    <w:qFormat/>
    <w:uiPriority w:val="0"/>
    <w:pPr>
      <w:spacing w:after="120" w:line="480" w:lineRule="auto"/>
      <w:ind w:left="420" w:leftChars="200"/>
    </w:pPr>
  </w:style>
  <w:style w:type="paragraph" w:styleId="7">
    <w:name w:val="Balloon Text"/>
    <w:basedOn w:val="1"/>
    <w:link w:val="66"/>
    <w:qFormat/>
    <w:uiPriority w:val="0"/>
    <w:rPr>
      <w:sz w:val="18"/>
      <w:szCs w:val="18"/>
    </w:rPr>
  </w:style>
  <w:style w:type="paragraph" w:styleId="8">
    <w:name w:val="footer"/>
    <w:basedOn w:val="1"/>
    <w:link w:val="62"/>
    <w:qFormat/>
    <w:uiPriority w:val="0"/>
    <w:pPr>
      <w:tabs>
        <w:tab w:val="center" w:pos="4153"/>
        <w:tab w:val="right" w:pos="8306"/>
      </w:tabs>
      <w:snapToGrid w:val="0"/>
      <w:jc w:val="left"/>
    </w:pPr>
    <w:rPr>
      <w:sz w:val="18"/>
      <w:szCs w:val="18"/>
    </w:rPr>
  </w:style>
  <w:style w:type="paragraph" w:styleId="9">
    <w:name w:val="header"/>
    <w:basedOn w:val="1"/>
    <w:link w:val="61"/>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11">
    <w:name w:val="annotation subject"/>
    <w:basedOn w:val="4"/>
    <w:next w:val="4"/>
    <w:link w:val="65"/>
    <w:qFormat/>
    <w:uiPriority w:val="0"/>
    <w:rPr>
      <w:b/>
      <w:bCs/>
    </w:rPr>
  </w:style>
  <w:style w:type="table" w:styleId="13">
    <w:name w:val="Table Grid"/>
    <w:basedOn w:val="1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qFormat/>
    <w:uiPriority w:val="22"/>
    <w:rPr>
      <w:b/>
      <w:bCs/>
    </w:rPr>
  </w:style>
  <w:style w:type="character" w:styleId="16">
    <w:name w:val="Emphasis"/>
    <w:basedOn w:val="14"/>
    <w:qFormat/>
    <w:uiPriority w:val="20"/>
    <w:rPr>
      <w:i/>
      <w:iCs/>
    </w:rPr>
  </w:style>
  <w:style w:type="character" w:styleId="17">
    <w:name w:val="Hyperlink"/>
    <w:qFormat/>
    <w:uiPriority w:val="0"/>
    <w:rPr>
      <w:color w:val="0000FF"/>
      <w:spacing w:val="0"/>
      <w:w w:val="100"/>
      <w:szCs w:val="21"/>
      <w:u w:val="single"/>
    </w:rPr>
  </w:style>
  <w:style w:type="character" w:styleId="18">
    <w:name w:val="annotation reference"/>
    <w:basedOn w:val="14"/>
    <w:qFormat/>
    <w:uiPriority w:val="0"/>
    <w:rPr>
      <w:sz w:val="21"/>
      <w:szCs w:val="21"/>
    </w:rPr>
  </w:style>
  <w:style w:type="character" w:customStyle="1" w:styleId="19">
    <w:name w:val="web14n1"/>
    <w:qFormat/>
    <w:uiPriority w:val="0"/>
    <w:rPr>
      <w:rFonts w:hint="default" w:ascii="??" w:hAnsi="??"/>
      <w:b/>
      <w:bCs/>
      <w:color w:val="FE0000"/>
      <w:sz w:val="27"/>
      <w:szCs w:val="27"/>
      <w:u w:val="single"/>
    </w:rPr>
  </w:style>
  <w:style w:type="character" w:customStyle="1" w:styleId="20">
    <w:name w:val="l1"/>
    <w:qFormat/>
    <w:uiPriority w:val="0"/>
    <w:rPr>
      <w:color w:val="106DC6"/>
    </w:rPr>
  </w:style>
  <w:style w:type="paragraph" w:customStyle="1" w:styleId="21">
    <w:name w:val="段"/>
    <w:basedOn w:val="1"/>
    <w:link w:val="57"/>
    <w:qFormat/>
    <w:uiPriority w:val="0"/>
    <w:pPr>
      <w:ind w:firstLine="425"/>
    </w:pPr>
    <w:rPr>
      <w:rFonts w:ascii="宋体"/>
      <w:szCs w:val="20"/>
    </w:rPr>
  </w:style>
  <w:style w:type="paragraph" w:customStyle="1" w:styleId="22">
    <w:name w:val="abstracts"/>
    <w:basedOn w:val="1"/>
    <w:qFormat/>
    <w:uiPriority w:val="0"/>
    <w:pPr>
      <w:widowControl/>
      <w:spacing w:before="225" w:after="150" w:line="360" w:lineRule="auto"/>
      <w:ind w:right="150" w:firstLine="480"/>
      <w:jc w:val="left"/>
    </w:pPr>
    <w:rPr>
      <w:rFonts w:ascii="宋体" w:hAnsi="宋体" w:cs="宋体"/>
      <w:kern w:val="0"/>
      <w:sz w:val="24"/>
    </w:rPr>
  </w:style>
  <w:style w:type="paragraph" w:customStyle="1" w:styleId="23">
    <w:name w:val="Char"/>
    <w:basedOn w:val="1"/>
    <w:qFormat/>
    <w:uiPriority w:val="0"/>
    <w:pPr>
      <w:spacing w:line="360" w:lineRule="auto"/>
      <w:ind w:firstLine="480" w:firstLineChars="200"/>
    </w:pPr>
    <w:rPr>
      <w:rFonts w:ascii="宋体" w:hAnsi="宋体" w:eastAsia="楷体_GB2312"/>
      <w:sz w:val="24"/>
      <w:szCs w:val="21"/>
    </w:rPr>
  </w:style>
  <w:style w:type="paragraph" w:customStyle="1" w:styleId="24">
    <w:name w:val="Char1"/>
    <w:basedOn w:val="1"/>
    <w:qFormat/>
    <w:uiPriority w:val="0"/>
    <w:pPr>
      <w:tabs>
        <w:tab w:val="left" w:pos="360"/>
      </w:tabs>
    </w:pPr>
    <w:rPr>
      <w:rFonts w:ascii="仿宋_GB2312" w:hAnsi="宋体" w:eastAsia="仿宋_GB2312" w:cs="宋体"/>
      <w:kern w:val="0"/>
      <w:sz w:val="24"/>
      <w:szCs w:val="32"/>
    </w:rPr>
  </w:style>
  <w:style w:type="paragraph" w:customStyle="1" w:styleId="25">
    <w:name w:val="reader-word-layer reader-word-s1-8"/>
    <w:basedOn w:val="1"/>
    <w:qFormat/>
    <w:uiPriority w:val="0"/>
    <w:pPr>
      <w:widowControl/>
      <w:spacing w:before="100" w:beforeAutospacing="1" w:after="100" w:afterAutospacing="1"/>
      <w:jc w:val="left"/>
    </w:pPr>
    <w:rPr>
      <w:rFonts w:ascii="宋体" w:hAnsi="宋体" w:cs="宋体"/>
      <w:kern w:val="0"/>
      <w:sz w:val="24"/>
      <w:lang w:bidi="he-IL"/>
    </w:rPr>
  </w:style>
  <w:style w:type="paragraph" w:customStyle="1" w:styleId="26">
    <w:name w:val="reader-word-layer reader-word-s2-5"/>
    <w:basedOn w:val="1"/>
    <w:qFormat/>
    <w:uiPriority w:val="0"/>
    <w:pPr>
      <w:widowControl/>
      <w:spacing w:before="100" w:beforeAutospacing="1" w:after="100" w:afterAutospacing="1"/>
      <w:jc w:val="left"/>
    </w:pPr>
    <w:rPr>
      <w:rFonts w:ascii="宋体" w:hAnsi="宋体" w:cs="宋体"/>
      <w:kern w:val="0"/>
      <w:sz w:val="24"/>
      <w:lang w:bidi="he-IL"/>
    </w:rPr>
  </w:style>
  <w:style w:type="paragraph" w:customStyle="1" w:styleId="27">
    <w:name w:val="reader-word-layer reader-word-s2-1"/>
    <w:basedOn w:val="1"/>
    <w:qFormat/>
    <w:uiPriority w:val="0"/>
    <w:pPr>
      <w:widowControl/>
      <w:spacing w:before="100" w:beforeAutospacing="1" w:after="100" w:afterAutospacing="1"/>
      <w:jc w:val="left"/>
    </w:pPr>
    <w:rPr>
      <w:rFonts w:ascii="宋体" w:hAnsi="宋体" w:cs="宋体"/>
      <w:kern w:val="0"/>
      <w:sz w:val="24"/>
      <w:lang w:bidi="he-IL"/>
    </w:rPr>
  </w:style>
  <w:style w:type="paragraph" w:customStyle="1" w:styleId="28">
    <w:name w:val="reader-word-layer reader-word-s2-2"/>
    <w:basedOn w:val="1"/>
    <w:qFormat/>
    <w:uiPriority w:val="0"/>
    <w:pPr>
      <w:widowControl/>
      <w:spacing w:before="100" w:beforeAutospacing="1" w:after="100" w:afterAutospacing="1"/>
      <w:jc w:val="left"/>
    </w:pPr>
    <w:rPr>
      <w:rFonts w:ascii="宋体" w:hAnsi="宋体" w:cs="宋体"/>
      <w:kern w:val="0"/>
      <w:sz w:val="24"/>
      <w:lang w:bidi="he-IL"/>
    </w:rPr>
  </w:style>
  <w:style w:type="paragraph" w:customStyle="1" w:styleId="29">
    <w:name w:val="reader-word-layer reader-word-s1-2"/>
    <w:basedOn w:val="1"/>
    <w:qFormat/>
    <w:uiPriority w:val="0"/>
    <w:pPr>
      <w:widowControl/>
      <w:spacing w:before="100" w:beforeAutospacing="1" w:after="100" w:afterAutospacing="1"/>
      <w:jc w:val="left"/>
    </w:pPr>
    <w:rPr>
      <w:rFonts w:ascii="宋体" w:hAnsi="宋体" w:cs="宋体"/>
      <w:kern w:val="0"/>
      <w:sz w:val="24"/>
      <w:lang w:bidi="he-IL"/>
    </w:rPr>
  </w:style>
  <w:style w:type="character" w:customStyle="1" w:styleId="30">
    <w:name w:val="标题 1 字符"/>
    <w:link w:val="2"/>
    <w:qFormat/>
    <w:uiPriority w:val="0"/>
    <w:rPr>
      <w:rFonts w:eastAsia="宋体"/>
      <w:b/>
      <w:bCs/>
      <w:kern w:val="44"/>
      <w:sz w:val="44"/>
      <w:szCs w:val="44"/>
      <w:lang w:val="en-US" w:eastAsia="zh-CN" w:bidi="ar-SA"/>
    </w:rPr>
  </w:style>
  <w:style w:type="paragraph" w:customStyle="1" w:styleId="31">
    <w:name w:val="reader-word-layer reader-word-s1-1"/>
    <w:basedOn w:val="1"/>
    <w:qFormat/>
    <w:uiPriority w:val="0"/>
    <w:pPr>
      <w:widowControl/>
      <w:spacing w:before="100" w:beforeAutospacing="1" w:after="100" w:afterAutospacing="1"/>
      <w:jc w:val="left"/>
    </w:pPr>
    <w:rPr>
      <w:rFonts w:ascii="宋体" w:hAnsi="宋体" w:cs="宋体"/>
      <w:kern w:val="0"/>
      <w:sz w:val="24"/>
      <w:lang w:bidi="he-IL"/>
    </w:rPr>
  </w:style>
  <w:style w:type="paragraph" w:customStyle="1" w:styleId="32">
    <w:name w:val="reader-word-layer reader-word-s1-3"/>
    <w:basedOn w:val="1"/>
    <w:qFormat/>
    <w:uiPriority w:val="0"/>
    <w:pPr>
      <w:widowControl/>
      <w:spacing w:before="100" w:beforeAutospacing="1" w:after="100" w:afterAutospacing="1"/>
      <w:jc w:val="left"/>
    </w:pPr>
    <w:rPr>
      <w:rFonts w:ascii="宋体" w:hAnsi="宋体" w:cs="宋体"/>
      <w:kern w:val="0"/>
      <w:sz w:val="24"/>
      <w:lang w:bidi="he-IL"/>
    </w:rPr>
  </w:style>
  <w:style w:type="paragraph" w:customStyle="1" w:styleId="33">
    <w:name w:val="reader-word-layer reader-word-s1-5"/>
    <w:basedOn w:val="1"/>
    <w:qFormat/>
    <w:uiPriority w:val="0"/>
    <w:pPr>
      <w:widowControl/>
      <w:spacing w:before="100" w:beforeAutospacing="1" w:after="100" w:afterAutospacing="1"/>
      <w:jc w:val="left"/>
    </w:pPr>
    <w:rPr>
      <w:rFonts w:ascii="宋体" w:hAnsi="宋体" w:cs="宋体"/>
      <w:kern w:val="0"/>
      <w:sz w:val="24"/>
      <w:lang w:bidi="he-IL"/>
    </w:rPr>
  </w:style>
  <w:style w:type="paragraph" w:customStyle="1" w:styleId="34">
    <w:name w:val="reader-word-layer reader-word-s1-12"/>
    <w:basedOn w:val="1"/>
    <w:qFormat/>
    <w:uiPriority w:val="0"/>
    <w:pPr>
      <w:widowControl/>
      <w:spacing w:before="100" w:beforeAutospacing="1" w:after="100" w:afterAutospacing="1"/>
      <w:jc w:val="left"/>
    </w:pPr>
    <w:rPr>
      <w:rFonts w:ascii="宋体" w:hAnsi="宋体" w:cs="宋体"/>
      <w:kern w:val="0"/>
      <w:sz w:val="24"/>
      <w:lang w:bidi="he-IL"/>
    </w:rPr>
  </w:style>
  <w:style w:type="paragraph" w:customStyle="1" w:styleId="35">
    <w:name w:val="reader-word-layer reader-word-s1-13"/>
    <w:basedOn w:val="1"/>
    <w:qFormat/>
    <w:uiPriority w:val="0"/>
    <w:pPr>
      <w:widowControl/>
      <w:spacing w:before="100" w:beforeAutospacing="1" w:after="100" w:afterAutospacing="1"/>
      <w:jc w:val="left"/>
    </w:pPr>
    <w:rPr>
      <w:rFonts w:ascii="宋体" w:hAnsi="宋体" w:cs="宋体"/>
      <w:kern w:val="0"/>
      <w:sz w:val="24"/>
      <w:lang w:bidi="he-IL"/>
    </w:rPr>
  </w:style>
  <w:style w:type="paragraph" w:customStyle="1" w:styleId="36">
    <w:name w:val="reader-word-layer reader-word-s1-7"/>
    <w:basedOn w:val="1"/>
    <w:qFormat/>
    <w:uiPriority w:val="0"/>
    <w:pPr>
      <w:widowControl/>
      <w:spacing w:before="100" w:beforeAutospacing="1" w:after="100" w:afterAutospacing="1"/>
      <w:jc w:val="left"/>
    </w:pPr>
    <w:rPr>
      <w:rFonts w:ascii="宋体" w:hAnsi="宋体" w:cs="宋体"/>
      <w:kern w:val="0"/>
      <w:sz w:val="24"/>
      <w:lang w:bidi="he-IL"/>
    </w:rPr>
  </w:style>
  <w:style w:type="paragraph" w:customStyle="1" w:styleId="37">
    <w:name w:val="reader-word-layer reader-word-s1-14"/>
    <w:basedOn w:val="1"/>
    <w:qFormat/>
    <w:uiPriority w:val="0"/>
    <w:pPr>
      <w:widowControl/>
      <w:spacing w:before="100" w:beforeAutospacing="1" w:after="100" w:afterAutospacing="1"/>
      <w:jc w:val="left"/>
    </w:pPr>
    <w:rPr>
      <w:rFonts w:ascii="宋体" w:hAnsi="宋体" w:cs="宋体"/>
      <w:kern w:val="0"/>
      <w:sz w:val="24"/>
      <w:lang w:bidi="he-IL"/>
    </w:rPr>
  </w:style>
  <w:style w:type="paragraph" w:customStyle="1" w:styleId="38">
    <w:name w:val="reader-word-layer reader-word-s1-15"/>
    <w:basedOn w:val="1"/>
    <w:qFormat/>
    <w:uiPriority w:val="0"/>
    <w:pPr>
      <w:widowControl/>
      <w:spacing w:before="100" w:beforeAutospacing="1" w:after="100" w:afterAutospacing="1"/>
      <w:jc w:val="left"/>
    </w:pPr>
    <w:rPr>
      <w:rFonts w:ascii="宋体" w:hAnsi="宋体" w:cs="宋体"/>
      <w:kern w:val="0"/>
      <w:sz w:val="24"/>
      <w:lang w:bidi="he-IL"/>
    </w:rPr>
  </w:style>
  <w:style w:type="paragraph" w:customStyle="1" w:styleId="39">
    <w:name w:val="reader-word-layer reader-word-s6-2"/>
    <w:basedOn w:val="1"/>
    <w:qFormat/>
    <w:uiPriority w:val="0"/>
    <w:pPr>
      <w:widowControl/>
      <w:spacing w:before="100" w:beforeAutospacing="1" w:after="100" w:afterAutospacing="1"/>
      <w:jc w:val="left"/>
    </w:pPr>
    <w:rPr>
      <w:rFonts w:ascii="宋体" w:hAnsi="宋体" w:cs="宋体"/>
      <w:kern w:val="0"/>
      <w:sz w:val="24"/>
      <w:lang w:bidi="he-IL"/>
    </w:rPr>
  </w:style>
  <w:style w:type="paragraph" w:customStyle="1" w:styleId="40">
    <w:name w:val="reader-word-layer reader-word-s6-5"/>
    <w:basedOn w:val="1"/>
    <w:qFormat/>
    <w:uiPriority w:val="0"/>
    <w:pPr>
      <w:widowControl/>
      <w:spacing w:before="100" w:beforeAutospacing="1" w:after="100" w:afterAutospacing="1"/>
      <w:jc w:val="left"/>
    </w:pPr>
    <w:rPr>
      <w:rFonts w:ascii="宋体" w:hAnsi="宋体" w:cs="宋体"/>
      <w:kern w:val="0"/>
      <w:sz w:val="24"/>
      <w:lang w:bidi="he-IL"/>
    </w:rPr>
  </w:style>
  <w:style w:type="paragraph" w:customStyle="1" w:styleId="41">
    <w:name w:val="reader-word-layer reader-word-s6-3"/>
    <w:basedOn w:val="1"/>
    <w:qFormat/>
    <w:uiPriority w:val="0"/>
    <w:pPr>
      <w:widowControl/>
      <w:spacing w:before="100" w:beforeAutospacing="1" w:after="100" w:afterAutospacing="1"/>
      <w:jc w:val="left"/>
    </w:pPr>
    <w:rPr>
      <w:rFonts w:ascii="宋体" w:hAnsi="宋体" w:cs="宋体"/>
      <w:kern w:val="0"/>
      <w:sz w:val="24"/>
      <w:lang w:bidi="he-IL"/>
    </w:rPr>
  </w:style>
  <w:style w:type="paragraph" w:customStyle="1" w:styleId="42">
    <w:name w:val="reader-word-layer reader-word-s6-6"/>
    <w:basedOn w:val="1"/>
    <w:qFormat/>
    <w:uiPriority w:val="0"/>
    <w:pPr>
      <w:widowControl/>
      <w:spacing w:before="100" w:beforeAutospacing="1" w:after="100" w:afterAutospacing="1"/>
      <w:jc w:val="left"/>
    </w:pPr>
    <w:rPr>
      <w:rFonts w:ascii="宋体" w:hAnsi="宋体" w:cs="宋体"/>
      <w:kern w:val="0"/>
      <w:sz w:val="24"/>
      <w:lang w:bidi="he-IL"/>
    </w:rPr>
  </w:style>
  <w:style w:type="paragraph" w:customStyle="1" w:styleId="43">
    <w:name w:val="reader-word-layer reader-word-s6-7"/>
    <w:basedOn w:val="1"/>
    <w:qFormat/>
    <w:uiPriority w:val="0"/>
    <w:pPr>
      <w:widowControl/>
      <w:spacing w:before="100" w:beforeAutospacing="1" w:after="100" w:afterAutospacing="1"/>
      <w:jc w:val="left"/>
    </w:pPr>
    <w:rPr>
      <w:rFonts w:ascii="宋体" w:hAnsi="宋体" w:cs="宋体"/>
      <w:kern w:val="0"/>
      <w:sz w:val="24"/>
      <w:lang w:bidi="he-IL"/>
    </w:rPr>
  </w:style>
  <w:style w:type="paragraph" w:customStyle="1" w:styleId="44">
    <w:name w:val="reader-word-layer reader-word-s6-8"/>
    <w:basedOn w:val="1"/>
    <w:qFormat/>
    <w:uiPriority w:val="0"/>
    <w:pPr>
      <w:widowControl/>
      <w:spacing w:before="100" w:beforeAutospacing="1" w:after="100" w:afterAutospacing="1"/>
      <w:jc w:val="left"/>
    </w:pPr>
    <w:rPr>
      <w:rFonts w:ascii="宋体" w:hAnsi="宋体" w:cs="宋体"/>
      <w:kern w:val="0"/>
      <w:sz w:val="24"/>
      <w:lang w:bidi="he-IL"/>
    </w:rPr>
  </w:style>
  <w:style w:type="paragraph" w:customStyle="1" w:styleId="45">
    <w:name w:val="数字编号列项（二级）"/>
    <w:qFormat/>
    <w:uiPriority w:val="0"/>
    <w:pPr>
      <w:numPr>
        <w:ilvl w:val="1"/>
        <w:numId w:val="1"/>
      </w:numPr>
      <w:jc w:val="both"/>
    </w:pPr>
    <w:rPr>
      <w:rFonts w:ascii="宋体" w:hAnsi="Times New Roman" w:eastAsia="宋体" w:cs="Times New Roman"/>
      <w:sz w:val="21"/>
      <w:lang w:val="en-US" w:eastAsia="zh-CN" w:bidi="ar-SA"/>
    </w:rPr>
  </w:style>
  <w:style w:type="paragraph" w:customStyle="1" w:styleId="46">
    <w:name w:val="字母编号列项（一级）"/>
    <w:qFormat/>
    <w:uiPriority w:val="0"/>
    <w:pPr>
      <w:numPr>
        <w:ilvl w:val="0"/>
        <w:numId w:val="1"/>
      </w:numPr>
      <w:jc w:val="both"/>
    </w:pPr>
    <w:rPr>
      <w:rFonts w:ascii="宋体" w:hAnsi="Times New Roman" w:eastAsia="宋体" w:cs="Times New Roman"/>
      <w:sz w:val="21"/>
      <w:lang w:val="en-US" w:eastAsia="zh-CN" w:bidi="ar-SA"/>
    </w:rPr>
  </w:style>
  <w:style w:type="paragraph" w:customStyle="1" w:styleId="47">
    <w:name w:val="编号列项（三级）"/>
    <w:qFormat/>
    <w:uiPriority w:val="0"/>
    <w:pPr>
      <w:numPr>
        <w:ilvl w:val="2"/>
        <w:numId w:val="1"/>
      </w:numPr>
    </w:pPr>
    <w:rPr>
      <w:rFonts w:ascii="宋体" w:hAnsi="Times New Roman" w:eastAsia="宋体" w:cs="Times New Roman"/>
      <w:sz w:val="21"/>
      <w:lang w:val="en-US" w:eastAsia="zh-CN" w:bidi="ar-SA"/>
    </w:rPr>
  </w:style>
  <w:style w:type="paragraph" w:customStyle="1" w:styleId="48">
    <w:name w:val="一级条标题"/>
    <w:next w:val="21"/>
    <w:link w:val="68"/>
    <w:qFormat/>
    <w:uiPriority w:val="0"/>
    <w:pPr>
      <w:numPr>
        <w:ilvl w:val="1"/>
        <w:numId w:val="2"/>
      </w:numPr>
      <w:spacing w:beforeLines="50" w:afterLines="50"/>
      <w:outlineLvl w:val="2"/>
    </w:pPr>
    <w:rPr>
      <w:rFonts w:ascii="黑体" w:hAnsi="Times New Roman" w:eastAsia="黑体" w:cs="Times New Roman"/>
      <w:sz w:val="21"/>
      <w:szCs w:val="21"/>
      <w:lang w:val="en-US" w:eastAsia="zh-CN" w:bidi="ar-SA"/>
    </w:rPr>
  </w:style>
  <w:style w:type="paragraph" w:customStyle="1" w:styleId="49">
    <w:name w:val="章标题"/>
    <w:next w:val="21"/>
    <w:qFormat/>
    <w:uiPriority w:val="0"/>
    <w:pPr>
      <w:numPr>
        <w:ilvl w:val="0"/>
        <w:numId w:val="2"/>
      </w:numPr>
      <w:spacing w:beforeLines="100" w:afterLines="100"/>
      <w:jc w:val="both"/>
      <w:outlineLvl w:val="1"/>
    </w:pPr>
    <w:rPr>
      <w:rFonts w:ascii="黑体" w:hAnsi="Times New Roman" w:eastAsia="黑体" w:cs="Times New Roman"/>
      <w:sz w:val="21"/>
      <w:lang w:val="en-US" w:eastAsia="zh-CN" w:bidi="ar-SA"/>
    </w:rPr>
  </w:style>
  <w:style w:type="paragraph" w:customStyle="1" w:styleId="50">
    <w:name w:val="二级条标题"/>
    <w:basedOn w:val="48"/>
    <w:next w:val="21"/>
    <w:link w:val="67"/>
    <w:qFormat/>
    <w:uiPriority w:val="0"/>
    <w:pPr>
      <w:numPr>
        <w:ilvl w:val="2"/>
      </w:numPr>
      <w:spacing w:before="50" w:after="50"/>
      <w:outlineLvl w:val="3"/>
    </w:pPr>
  </w:style>
  <w:style w:type="paragraph" w:customStyle="1" w:styleId="51">
    <w:name w:val="三级条标题"/>
    <w:basedOn w:val="50"/>
    <w:next w:val="21"/>
    <w:qFormat/>
    <w:uiPriority w:val="0"/>
    <w:pPr>
      <w:numPr>
        <w:ilvl w:val="3"/>
      </w:numPr>
      <w:outlineLvl w:val="4"/>
    </w:pPr>
  </w:style>
  <w:style w:type="paragraph" w:customStyle="1" w:styleId="52">
    <w:name w:val="四级条标题"/>
    <w:basedOn w:val="51"/>
    <w:next w:val="21"/>
    <w:qFormat/>
    <w:uiPriority w:val="0"/>
    <w:pPr>
      <w:numPr>
        <w:ilvl w:val="4"/>
      </w:numPr>
      <w:outlineLvl w:val="5"/>
    </w:pPr>
  </w:style>
  <w:style w:type="paragraph" w:customStyle="1" w:styleId="53">
    <w:name w:val="五级条标题"/>
    <w:basedOn w:val="52"/>
    <w:next w:val="21"/>
    <w:qFormat/>
    <w:uiPriority w:val="0"/>
    <w:pPr>
      <w:numPr>
        <w:ilvl w:val="5"/>
      </w:numPr>
      <w:outlineLvl w:val="6"/>
    </w:pPr>
  </w:style>
  <w:style w:type="paragraph" w:customStyle="1" w:styleId="54">
    <w:name w:val="二级无"/>
    <w:basedOn w:val="50"/>
    <w:qFormat/>
    <w:uiPriority w:val="0"/>
    <w:pPr>
      <w:spacing w:beforeLines="0" w:afterLines="0"/>
    </w:pPr>
    <w:rPr>
      <w:rFonts w:ascii="宋体" w:eastAsia="宋体"/>
    </w:rPr>
  </w:style>
  <w:style w:type="paragraph" w:customStyle="1" w:styleId="55">
    <w:name w:val="其他发布日期"/>
    <w:basedOn w:val="1"/>
    <w:qFormat/>
    <w:uiPriority w:val="0"/>
    <w:pPr>
      <w:framePr w:w="3997" w:h="471" w:hRule="exact" w:vSpace="181" w:wrap="around" w:vAnchor="page" w:hAnchor="page" w:x="1419" w:y="14097" w:anchorLock="1"/>
      <w:widowControl/>
      <w:jc w:val="left"/>
    </w:pPr>
    <w:rPr>
      <w:rFonts w:eastAsia="黑体"/>
      <w:kern w:val="0"/>
      <w:sz w:val="28"/>
      <w:szCs w:val="20"/>
    </w:rPr>
  </w:style>
  <w:style w:type="paragraph" w:customStyle="1" w:styleId="56">
    <w:name w:val="Char Char Char Char Char Char Char"/>
    <w:basedOn w:val="1"/>
    <w:qFormat/>
    <w:uiPriority w:val="0"/>
    <w:pPr>
      <w:widowControl/>
      <w:spacing w:after="160" w:line="240" w:lineRule="exact"/>
      <w:jc w:val="left"/>
    </w:pPr>
    <w:rPr>
      <w:rFonts w:ascii="Verdana" w:hAnsi="Verdana" w:eastAsia="仿宋_GB2312"/>
      <w:sz w:val="24"/>
      <w:lang w:eastAsia="en-US"/>
    </w:rPr>
  </w:style>
  <w:style w:type="character" w:customStyle="1" w:styleId="57">
    <w:name w:val="段 Char"/>
    <w:link w:val="21"/>
    <w:qFormat/>
    <w:uiPriority w:val="0"/>
    <w:rPr>
      <w:rFonts w:ascii="宋体" w:eastAsia="宋体"/>
      <w:kern w:val="2"/>
      <w:sz w:val="21"/>
      <w:lang w:val="en-US" w:eastAsia="zh-CN" w:bidi="ar-SA"/>
    </w:rPr>
  </w:style>
  <w:style w:type="character" w:customStyle="1" w:styleId="58">
    <w:name w:val="发布"/>
    <w:qFormat/>
    <w:uiPriority w:val="0"/>
    <w:rPr>
      <w:rFonts w:ascii="黑体" w:eastAsia="黑体"/>
      <w:spacing w:val="85"/>
      <w:w w:val="100"/>
      <w:position w:val="3"/>
      <w:sz w:val="28"/>
      <w:szCs w:val="28"/>
    </w:rPr>
  </w:style>
  <w:style w:type="character" w:customStyle="1" w:styleId="59">
    <w:name w:val="td10"/>
    <w:basedOn w:val="14"/>
    <w:qFormat/>
    <w:uiPriority w:val="0"/>
  </w:style>
  <w:style w:type="paragraph" w:customStyle="1" w:styleId="60">
    <w:name w:val="一级无"/>
    <w:basedOn w:val="48"/>
    <w:qFormat/>
    <w:uiPriority w:val="0"/>
    <w:pPr>
      <w:numPr>
        <w:numId w:val="3"/>
      </w:numPr>
      <w:tabs>
        <w:tab w:val="left" w:pos="1440"/>
      </w:tabs>
      <w:spacing w:beforeLines="0" w:afterLines="0"/>
    </w:pPr>
    <w:rPr>
      <w:rFonts w:ascii="宋体" w:eastAsia="宋体"/>
    </w:rPr>
  </w:style>
  <w:style w:type="character" w:customStyle="1" w:styleId="61">
    <w:name w:val="页眉 字符"/>
    <w:link w:val="9"/>
    <w:qFormat/>
    <w:uiPriority w:val="0"/>
    <w:rPr>
      <w:kern w:val="2"/>
      <w:sz w:val="18"/>
      <w:szCs w:val="18"/>
    </w:rPr>
  </w:style>
  <w:style w:type="character" w:customStyle="1" w:styleId="62">
    <w:name w:val="页脚 字符"/>
    <w:link w:val="8"/>
    <w:qFormat/>
    <w:uiPriority w:val="0"/>
    <w:rPr>
      <w:kern w:val="2"/>
      <w:sz w:val="18"/>
      <w:szCs w:val="18"/>
    </w:rPr>
  </w:style>
  <w:style w:type="character" w:customStyle="1" w:styleId="63">
    <w:name w:val="标题 3 字符"/>
    <w:basedOn w:val="14"/>
    <w:link w:val="3"/>
    <w:qFormat/>
    <w:uiPriority w:val="0"/>
    <w:rPr>
      <w:b/>
      <w:bCs/>
      <w:kern w:val="2"/>
      <w:sz w:val="32"/>
      <w:szCs w:val="32"/>
    </w:rPr>
  </w:style>
  <w:style w:type="character" w:customStyle="1" w:styleId="64">
    <w:name w:val="批注文字 字符"/>
    <w:basedOn w:val="14"/>
    <w:link w:val="4"/>
    <w:qFormat/>
    <w:uiPriority w:val="0"/>
    <w:rPr>
      <w:kern w:val="2"/>
      <w:sz w:val="21"/>
      <w:szCs w:val="24"/>
    </w:rPr>
  </w:style>
  <w:style w:type="character" w:customStyle="1" w:styleId="65">
    <w:name w:val="批注主题 字符"/>
    <w:basedOn w:val="64"/>
    <w:link w:val="11"/>
    <w:qFormat/>
    <w:uiPriority w:val="0"/>
    <w:rPr>
      <w:b/>
      <w:bCs/>
      <w:kern w:val="2"/>
      <w:sz w:val="21"/>
      <w:szCs w:val="24"/>
    </w:rPr>
  </w:style>
  <w:style w:type="character" w:customStyle="1" w:styleId="66">
    <w:name w:val="批注框文本 字符"/>
    <w:basedOn w:val="14"/>
    <w:link w:val="7"/>
    <w:qFormat/>
    <w:uiPriority w:val="0"/>
    <w:rPr>
      <w:kern w:val="2"/>
      <w:sz w:val="18"/>
      <w:szCs w:val="18"/>
    </w:rPr>
  </w:style>
  <w:style w:type="character" w:customStyle="1" w:styleId="67">
    <w:name w:val="二级条标题 Char"/>
    <w:link w:val="50"/>
    <w:qFormat/>
    <w:locked/>
    <w:uiPriority w:val="0"/>
    <w:rPr>
      <w:rFonts w:ascii="黑体" w:eastAsia="黑体"/>
      <w:sz w:val="21"/>
      <w:szCs w:val="21"/>
    </w:rPr>
  </w:style>
  <w:style w:type="character" w:customStyle="1" w:styleId="68">
    <w:name w:val="一级条标题 Char"/>
    <w:link w:val="48"/>
    <w:qFormat/>
    <w:locked/>
    <w:uiPriority w:val="0"/>
    <w:rPr>
      <w:rFonts w:ascii="黑体" w:eastAsia="黑体"/>
      <w:sz w:val="21"/>
      <w:szCs w:val="21"/>
      <w:lang w:bidi="ar-SA"/>
    </w:rPr>
  </w:style>
  <w:style w:type="paragraph" w:customStyle="1" w:styleId="69">
    <w:name w:val="正文表标题"/>
    <w:next w:val="21"/>
    <w:qFormat/>
    <w:uiPriority w:val="0"/>
    <w:pPr>
      <w:tabs>
        <w:tab w:val="left" w:pos="360"/>
      </w:tabs>
      <w:spacing w:beforeLines="50" w:afterLines="50"/>
      <w:jc w:val="center"/>
    </w:pPr>
    <w:rPr>
      <w:rFonts w:ascii="黑体" w:hAnsi="Times New Roman" w:eastAsia="黑体" w:cs="Times New Roman"/>
      <w:sz w:val="21"/>
      <w:lang w:val="en-US" w:eastAsia="zh-CN" w:bidi="ar-SA"/>
    </w:rPr>
  </w:style>
  <w:style w:type="paragraph" w:styleId="70">
    <w:name w:val="List Paragraph"/>
    <w:basedOn w:val="1"/>
    <w:qFormat/>
    <w:uiPriority w:val="34"/>
    <w:pPr>
      <w:ind w:firstLine="420" w:firstLineChars="200"/>
    </w:p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3" Type="http://schemas.openxmlformats.org/officeDocument/2006/relationships/fontTable" Target="fontTable.xml"/><Relationship Id="rId92" Type="http://schemas.microsoft.com/office/2006/relationships/keyMapCustomizations" Target="customizations.xml"/><Relationship Id="rId91" Type="http://schemas.openxmlformats.org/officeDocument/2006/relationships/numbering" Target="numbering.xml"/><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image" Target="media/image2.png"/><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image" Target="media/image1.png"/><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theme" Target="theme/theme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bzhy</Company>
  <Pages>30</Pages>
  <Words>12182</Words>
  <Characters>12740</Characters>
  <Lines>96</Lines>
  <Paragraphs>27</Paragraphs>
  <TotalTime>56</TotalTime>
  <ScaleCrop>false</ScaleCrop>
  <LinksUpToDate>false</LinksUpToDate>
  <CharactersWithSpaces>12861</CharactersWithSpaces>
  <Application>WPS Office_11.1.0.12651_F1E327BC-269C-435d-A152-05C5408002CA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2022-11-21T15:48:00Z</dcterms:created>
  <dc:creator>user</dc:creator>
  <cp:lastModifiedBy>Lenovo</cp:lastModifiedBy>
  <cp:lastPrinted>2022-11-09T08:54:00Z</cp:lastPrinted>
  <dcterms:modified xsi:type="dcterms:W3CDTF">2022-12-09T06:50:56Z</dcterms:modified>
  <dc:title>公共场所双语标志英文译法规范</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2052-11.1.0.12651</vt:lpwstr>
  </property>
  <property fmtid="{D5CDD505-2E9C-101B-9397-08002B2CF9AE}" pid="3" name="ICV">
    <vt:lpwstr>0FE4E640F1F34412896F8379FADEF777</vt:lpwstr>
  </property>
</Properties>
</file>